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97EF1" w14:textId="0B9062A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7B2628">
        <w:t>99</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EB6656" w:rsidRPr="00EB6656">
        <w:rPr>
          <w:sz w:val="32"/>
          <w:szCs w:val="32"/>
        </w:rPr>
        <w:t>19</w:t>
      </w:r>
      <w:r w:rsidR="00EB6656" w:rsidRPr="004564C2">
        <w:rPr>
          <w:sz w:val="32"/>
          <w:szCs w:val="32"/>
        </w:rPr>
        <w:t>12658</w:t>
      </w:r>
    </w:p>
    <w:p w14:paraId="4367AF4E" w14:textId="77777777" w:rsidR="00E90E49" w:rsidRPr="00CE0424" w:rsidRDefault="007B2628" w:rsidP="00311702">
      <w:pPr>
        <w:pStyle w:val="3GPPHeader"/>
      </w:pPr>
      <w:r w:rsidRPr="001D2F13">
        <w:t>Reno, USA, November 18</w:t>
      </w:r>
      <w:r w:rsidRPr="001D2F13">
        <w:rPr>
          <w:vertAlign w:val="superscript"/>
        </w:rPr>
        <w:t>th</w:t>
      </w:r>
      <w:r w:rsidRPr="001D2F13">
        <w:t xml:space="preserve"> – 22</w:t>
      </w:r>
      <w:r w:rsidRPr="001D2F13">
        <w:rPr>
          <w:vertAlign w:val="superscript"/>
        </w:rPr>
        <w:t>nd</w:t>
      </w:r>
      <w:r w:rsidRPr="001D2F13">
        <w:t>, 2019</w:t>
      </w:r>
    </w:p>
    <w:p w14:paraId="7BBD0F4F" w14:textId="77777777" w:rsidR="00E90E49" w:rsidRPr="00CE0424" w:rsidRDefault="00E90E49" w:rsidP="00357380">
      <w:pPr>
        <w:pStyle w:val="3GPPHeader"/>
      </w:pPr>
    </w:p>
    <w:p w14:paraId="1F0150F2" w14:textId="6DC78C78" w:rsidR="00E90E49" w:rsidRPr="00957128" w:rsidRDefault="00E90E49" w:rsidP="00311702">
      <w:pPr>
        <w:pStyle w:val="3GPPHeader"/>
        <w:rPr>
          <w:sz w:val="22"/>
          <w:szCs w:val="22"/>
          <w:lang w:val="en-US"/>
        </w:rPr>
      </w:pPr>
      <w:r w:rsidRPr="00957128">
        <w:rPr>
          <w:sz w:val="22"/>
          <w:szCs w:val="22"/>
          <w:lang w:val="en-US"/>
        </w:rPr>
        <w:t>Agenda Item:</w:t>
      </w:r>
      <w:r w:rsidRPr="00957128">
        <w:rPr>
          <w:sz w:val="22"/>
          <w:szCs w:val="22"/>
          <w:lang w:val="en-US"/>
        </w:rPr>
        <w:tab/>
      </w:r>
      <w:r w:rsidR="005A20B0" w:rsidRPr="00957128">
        <w:rPr>
          <w:sz w:val="22"/>
          <w:szCs w:val="22"/>
          <w:lang w:val="en-US"/>
        </w:rPr>
        <w:t>7.2.8.5</w:t>
      </w:r>
    </w:p>
    <w:p w14:paraId="108B288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9DDFD7" w14:textId="44AE6CF2" w:rsidR="00E90E49" w:rsidRPr="00CE0424" w:rsidRDefault="003D3C45" w:rsidP="00311702">
      <w:pPr>
        <w:pStyle w:val="3GPPHeader"/>
        <w:rPr>
          <w:sz w:val="22"/>
          <w:szCs w:val="22"/>
        </w:rPr>
      </w:pPr>
      <w:r>
        <w:rPr>
          <w:sz w:val="22"/>
          <w:szCs w:val="22"/>
        </w:rPr>
        <w:t>Title:</w:t>
      </w:r>
      <w:r w:rsidR="00E90E49" w:rsidRPr="00CE0424">
        <w:rPr>
          <w:sz w:val="22"/>
          <w:szCs w:val="22"/>
        </w:rPr>
        <w:tab/>
      </w:r>
      <w:r w:rsidR="005A20B0" w:rsidRPr="005A20B0">
        <w:rPr>
          <w:sz w:val="22"/>
          <w:szCs w:val="22"/>
        </w:rPr>
        <w:t>Focus areas for R</w:t>
      </w:r>
      <w:r w:rsidR="00957128">
        <w:rPr>
          <w:sz w:val="22"/>
          <w:szCs w:val="22"/>
        </w:rPr>
        <w:t>elease-</w:t>
      </w:r>
      <w:r w:rsidR="005A20B0" w:rsidRPr="005A20B0">
        <w:rPr>
          <w:sz w:val="22"/>
          <w:szCs w:val="22"/>
        </w:rPr>
        <w:t xml:space="preserve">17 </w:t>
      </w:r>
      <w:proofErr w:type="spellStart"/>
      <w:r w:rsidR="005A20B0" w:rsidRPr="005A20B0">
        <w:rPr>
          <w:sz w:val="22"/>
          <w:szCs w:val="22"/>
        </w:rPr>
        <w:t>feMIMO</w:t>
      </w:r>
      <w:proofErr w:type="spellEnd"/>
    </w:p>
    <w:p w14:paraId="54A102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47153">
        <w:rPr>
          <w:sz w:val="22"/>
          <w:szCs w:val="22"/>
        </w:rPr>
        <w:t>Discussion, Decision</w:t>
      </w:r>
    </w:p>
    <w:p w14:paraId="02026C70" w14:textId="77777777" w:rsidR="00E90E49" w:rsidRPr="00CE0424" w:rsidRDefault="00230D18" w:rsidP="00CE0424">
      <w:pPr>
        <w:pStyle w:val="Heading1"/>
      </w:pPr>
      <w:r>
        <w:t>1</w:t>
      </w:r>
      <w:r>
        <w:tab/>
      </w:r>
      <w:r w:rsidR="00E90E49" w:rsidRPr="00CE0424">
        <w:t>Introduction</w:t>
      </w:r>
    </w:p>
    <w:p w14:paraId="3206C13B" w14:textId="05300D77" w:rsidR="00477768" w:rsidRPr="00CE0424" w:rsidRDefault="00993D99" w:rsidP="00CE0424">
      <w:pPr>
        <w:pStyle w:val="BodyText"/>
      </w:pPr>
      <w:r>
        <w:t>The Phase II email discussion on MIMO enhancements for Rel-17 is currently ongoing. In this contribution, we would like to highlight and further elaborate the scenario</w:t>
      </w:r>
      <w:r w:rsidR="004564C2">
        <w:t>s</w:t>
      </w:r>
      <w:r>
        <w:t xml:space="preserve"> and use case</w:t>
      </w:r>
      <w:r w:rsidR="004564C2">
        <w:t>s</w:t>
      </w:r>
      <w:r>
        <w:t xml:space="preserve"> for what we believe should be the focus of the Rel-17 MIMO work.</w:t>
      </w:r>
    </w:p>
    <w:p w14:paraId="482FC549" w14:textId="77777777" w:rsidR="004000E8" w:rsidRPr="00CE0424" w:rsidRDefault="00230D18" w:rsidP="00CE0424">
      <w:pPr>
        <w:pStyle w:val="Heading1"/>
      </w:pPr>
      <w:bookmarkStart w:id="0" w:name="_Ref178064866"/>
      <w:r>
        <w:t>2</w:t>
      </w:r>
      <w:r>
        <w:tab/>
      </w:r>
      <w:r w:rsidR="004000E8" w:rsidRPr="00CE0424">
        <w:t>Discussion</w:t>
      </w:r>
      <w:bookmarkEnd w:id="0"/>
    </w:p>
    <w:p w14:paraId="6BB04B9F" w14:textId="4409B533" w:rsidR="00F63950" w:rsidRDefault="00230D18" w:rsidP="00A65B5B">
      <w:pPr>
        <w:pStyle w:val="Heading2"/>
      </w:pPr>
      <w:r>
        <w:t>2.1</w:t>
      </w:r>
      <w:r>
        <w:tab/>
      </w:r>
      <w:r w:rsidR="008C0F05">
        <w:t>Enhanced</w:t>
      </w:r>
      <w:r w:rsidR="0024563A">
        <w:t xml:space="preserve"> support for intra- and inter-cell mobility</w:t>
      </w:r>
    </w:p>
    <w:p w14:paraId="7C4B8205" w14:textId="64018611" w:rsidR="00184338" w:rsidRDefault="00184338" w:rsidP="00184338">
      <w:pPr>
        <w:pStyle w:val="BodyText"/>
      </w:pPr>
      <w:r>
        <w:t>When the UE moves from one cell to another, a handover is performed. The UE is configured to perform event-triggered reporting</w:t>
      </w:r>
      <w:r w:rsidR="00016256">
        <w:t xml:space="preserve"> of the quality of its serving cell as well as the potential target cells</w:t>
      </w:r>
      <w:r>
        <w:t xml:space="preserve">: the UE filters the L1 measurements, and only </w:t>
      </w:r>
      <w:r w:rsidR="00DB4EB9">
        <w:t>i</w:t>
      </w:r>
      <w:r>
        <w:t>f the filtered measurement is above a certain threshold, the UE decides to send a measurement report. To send the measurement report, the UE requests UL resources using a normal scheduling request</w:t>
      </w:r>
      <w:r w:rsidR="00016256">
        <w:t>, and a</w:t>
      </w:r>
      <w:r>
        <w:t>fter being granted resources, the UE sends an RRC measurement report.</w:t>
      </w:r>
    </w:p>
    <w:p w14:paraId="77C7E556" w14:textId="14A1311B" w:rsidR="00184338" w:rsidRDefault="00184338" w:rsidP="00184338">
      <w:pPr>
        <w:pStyle w:val="BodyText"/>
      </w:pPr>
      <w:r>
        <w:t xml:space="preserve">When the network receives the measurement report, it transmits an RRC reconfiguration with sync message to the UE. Upon reception of the message, the UE initiates a </w:t>
      </w:r>
      <w:proofErr w:type="gramStart"/>
      <w:r>
        <w:t>random access</w:t>
      </w:r>
      <w:proofErr w:type="gramEnd"/>
      <w:r>
        <w:t xml:space="preserve"> procedure with the target cell. </w:t>
      </w:r>
      <w:r w:rsidR="00016256">
        <w:t>Once the handover procedure is complete, the target cell confirms that the handover is complete.</w:t>
      </w:r>
    </w:p>
    <w:p w14:paraId="4AB60742" w14:textId="77777777" w:rsidR="00184338" w:rsidRDefault="00184338" w:rsidP="00184338">
      <w:pPr>
        <w:pStyle w:val="BodyText"/>
      </w:pPr>
      <w:r>
        <w:t xml:space="preserve">The handover procedure is completely general: it applies to essentially any configuration for serving and target cells. However, it relies on transmission of rather large messages at the cell edge, where the channel conditions are bad, and getting worse. The procedure also leads to noticeable interrupts in the transmission when the UE access the target cell. During Rel-16, RAN2 has worked on two concepts to reduce these issues, conditional handover (CHO) and dual active protocol stack (DAPS). Both solutions have limitations: CHO reduces the network control of the handover procedure, and DAPS leads to complex UE implementations </w:t>
      </w:r>
      <w:proofErr w:type="gramStart"/>
      <w:r>
        <w:t>in particular for</w:t>
      </w:r>
      <w:proofErr w:type="gramEnd"/>
      <w:r>
        <w:t xml:space="preserve"> the most common scenarios. </w:t>
      </w:r>
    </w:p>
    <w:p w14:paraId="6B63C991" w14:textId="38C676DA" w:rsidR="00184338" w:rsidRDefault="001042A7" w:rsidP="0035325E">
      <w:pPr>
        <w:pStyle w:val="BodyText"/>
      </w:pPr>
      <w:r>
        <w:t xml:space="preserve">To </w:t>
      </w:r>
      <w:r w:rsidR="00184338">
        <w:t xml:space="preserve">support antennas with many narrow beams </w:t>
      </w:r>
      <w:r>
        <w:t xml:space="preserve">in </w:t>
      </w:r>
      <w:r w:rsidR="00184338">
        <w:t xml:space="preserve">NR for FR2, </w:t>
      </w:r>
      <w:r w:rsidRPr="001042A7">
        <w:rPr>
          <w:i/>
        </w:rPr>
        <w:t>beam management</w:t>
      </w:r>
      <w:r>
        <w:t xml:space="preserve"> procedures were introduced. Beam management contains RSRP reporting on L1 to facilitate fast and low-complexity beam reporting, and a set of signalling mechanisms to provide the UE with information to assist the UE demodulation, as well as </w:t>
      </w:r>
      <w:r w:rsidR="0003323D">
        <w:t>instructions for the UL transmission.</w:t>
      </w:r>
      <w:r>
        <w:t xml:space="preserve">   </w:t>
      </w:r>
    </w:p>
    <w:p w14:paraId="5CE1CCD1" w14:textId="77777777" w:rsidR="00016256" w:rsidRDefault="00C440A8" w:rsidP="00C440A8">
      <w:pPr>
        <w:pStyle w:val="BodyText"/>
      </w:pPr>
      <w:r>
        <w:t>The network typically bases the selection of DL Tx beam on RSRP measurements of DL reference signals, either SSBs</w:t>
      </w:r>
      <w:r w:rsidR="00016256">
        <w:t xml:space="preserve">, periodic, semi-persistent or aperiodic </w:t>
      </w:r>
      <w:r>
        <w:t>CSI-RS</w:t>
      </w:r>
      <w:r w:rsidR="00016256">
        <w:t xml:space="preserve">. The reporting is typically performed over PUSCH, based on UL grants sent by the network. </w:t>
      </w:r>
    </w:p>
    <w:p w14:paraId="21339E54" w14:textId="5280E98F" w:rsidR="00B03622" w:rsidRDefault="008C0F05" w:rsidP="0035325E">
      <w:pPr>
        <w:pStyle w:val="BodyText"/>
      </w:pPr>
      <w:r>
        <w:t xml:space="preserve">To </w:t>
      </w:r>
      <w:r w:rsidR="0039251F">
        <w:t>assist UE demodulation, Release-15 introduced signalling mechanisms of TCI states. A TCI state contains pointers</w:t>
      </w:r>
      <w:r w:rsidR="00993D99">
        <w:t xml:space="preserve"> to</w:t>
      </w:r>
      <w:r w:rsidR="0039251F">
        <w:t xml:space="preserve"> two reference signals that the UE may use when demodulating</w:t>
      </w:r>
      <w:r w:rsidR="00993D99">
        <w:t xml:space="preserve"> or receiving</w:t>
      </w:r>
      <w:r w:rsidR="0039251F">
        <w:t xml:space="preserve"> other signals</w:t>
      </w:r>
      <w:r w:rsidR="00DC3D18">
        <w:t xml:space="preserve">. </w:t>
      </w:r>
      <w:r w:rsidR="0039251F">
        <w:t xml:space="preserve">One of the RSs in the TCI state contains the spatial Rx information, i.e., information to assist the UE to choose Rx beam. The network also provides the UE with instructions on how to transmit in UL, by providing so-called spatial relations for the different UL channels. A spatial relation is defined by an UL or DL reference signal. </w:t>
      </w:r>
      <w:r w:rsidR="00071980">
        <w:t xml:space="preserve">In addition, the network would have to update the pathloss reference RS used for UL power control when the UE </w:t>
      </w:r>
      <w:r w:rsidR="00071980">
        <w:lastRenderedPageBreak/>
        <w:t>moves.</w:t>
      </w:r>
      <w:r w:rsidR="00DC3D18">
        <w:t xml:space="preserve"> Updating the TCI states, spatial relations and pathloss reference RS is performed using a combination of MAC CE and DCI. </w:t>
      </w:r>
    </w:p>
    <w:p w14:paraId="599DE3A6" w14:textId="63C59E9F" w:rsidR="00B03622" w:rsidRDefault="00B03622" w:rsidP="0035325E">
      <w:pPr>
        <w:pStyle w:val="BodyText"/>
      </w:pPr>
      <w:r>
        <w:t xml:space="preserve">In </w:t>
      </w:r>
      <w:r>
        <w:fldChar w:fldCharType="begin"/>
      </w:r>
      <w:r>
        <w:instrText xml:space="preserve"> REF _Ref23750076 \h </w:instrText>
      </w:r>
      <w:r>
        <w:fldChar w:fldCharType="separate"/>
      </w:r>
      <w:r w:rsidR="00247153">
        <w:t xml:space="preserve">Figure </w:t>
      </w:r>
      <w:r w:rsidR="00247153">
        <w:rPr>
          <w:noProof/>
        </w:rPr>
        <w:t>1</w:t>
      </w:r>
      <w:r>
        <w:fldChar w:fldCharType="end"/>
      </w:r>
      <w:r>
        <w:t>, the difference between the mobility situation are illustrated.</w:t>
      </w:r>
    </w:p>
    <w:p w14:paraId="47E06158" w14:textId="4D2E83F5" w:rsidR="00B03622" w:rsidRDefault="0095750C" w:rsidP="00B03622">
      <w:pPr>
        <w:pStyle w:val="TF"/>
      </w:pPr>
      <w:r>
        <w:rPr>
          <w:noProof/>
        </w:rPr>
        <w:drawing>
          <wp:inline distT="0" distB="0" distL="0" distR="0" wp14:anchorId="0C89375B" wp14:editId="6CA65271">
            <wp:extent cx="4257675" cy="29363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emobility.png"/>
                    <pic:cNvPicPr/>
                  </pic:nvPicPr>
                  <pic:blipFill>
                    <a:blip r:embed="rId11">
                      <a:extLst>
                        <a:ext uri="{28A0092B-C50C-407E-A947-70E740481C1C}">
                          <a14:useLocalDpi xmlns:a14="http://schemas.microsoft.com/office/drawing/2010/main" val="0"/>
                        </a:ext>
                      </a:extLst>
                    </a:blip>
                    <a:stretch>
                      <a:fillRect/>
                    </a:stretch>
                  </pic:blipFill>
                  <pic:spPr>
                    <a:xfrm>
                      <a:off x="0" y="0"/>
                      <a:ext cx="4267551" cy="2943138"/>
                    </a:xfrm>
                    <a:prstGeom prst="rect">
                      <a:avLst/>
                    </a:prstGeom>
                  </pic:spPr>
                </pic:pic>
              </a:graphicData>
            </a:graphic>
          </wp:inline>
        </w:drawing>
      </w:r>
    </w:p>
    <w:p w14:paraId="773E9827" w14:textId="67CD172A" w:rsidR="00B03622" w:rsidRPr="00B03622" w:rsidRDefault="00B03622" w:rsidP="00B03622">
      <w:pPr>
        <w:pStyle w:val="Caption"/>
        <w:rPr>
          <w:lang w:val="en-US"/>
        </w:rPr>
      </w:pPr>
      <w:bookmarkStart w:id="1" w:name="_Ref23750076"/>
      <w:r>
        <w:t xml:space="preserve">Figure </w:t>
      </w:r>
      <w:r w:rsidR="002A74AF">
        <w:fldChar w:fldCharType="begin"/>
      </w:r>
      <w:r w:rsidR="002A74AF">
        <w:instrText xml:space="preserve"> SEQ Figure \* ARAB</w:instrText>
      </w:r>
      <w:r w:rsidR="002A74AF">
        <w:instrText xml:space="preserve">IC </w:instrText>
      </w:r>
      <w:r w:rsidR="002A74AF">
        <w:fldChar w:fldCharType="separate"/>
      </w:r>
      <w:r w:rsidR="00247153">
        <w:rPr>
          <w:noProof/>
        </w:rPr>
        <w:t>1</w:t>
      </w:r>
      <w:r w:rsidR="002A74AF">
        <w:rPr>
          <w:noProof/>
        </w:rPr>
        <w:fldChar w:fldCharType="end"/>
      </w:r>
      <w:bookmarkEnd w:id="1"/>
      <w:r>
        <w:t>: An example of mobility for two UEs. UE1 relies on beam management procedures when moving within the cell, whereas UE2 relies on handover procedures when moving between cells.</w:t>
      </w:r>
      <w:r>
        <w:tab/>
      </w:r>
    </w:p>
    <w:p w14:paraId="777CA867" w14:textId="28F45A33" w:rsidR="00B03622" w:rsidRDefault="0095750C" w:rsidP="0035325E">
      <w:pPr>
        <w:pStyle w:val="BodyText"/>
      </w:pPr>
      <w:r>
        <w:t>T</w:t>
      </w:r>
      <w:r w:rsidR="00B03622">
        <w:t xml:space="preserve">he beam management procedures are </w:t>
      </w:r>
      <w:r>
        <w:t xml:space="preserve">clearly </w:t>
      </w:r>
      <w:r w:rsidR="00B03622">
        <w:t>more lightweight and hence faster than the corresponding handover procedures</w:t>
      </w:r>
      <w:r>
        <w:t>:</w:t>
      </w:r>
    </w:p>
    <w:p w14:paraId="1EBB5B80" w14:textId="57AD6AE2" w:rsidR="0095750C" w:rsidRDefault="0095750C" w:rsidP="0095750C">
      <w:pPr>
        <w:pStyle w:val="Observation"/>
      </w:pPr>
      <w:bookmarkStart w:id="2" w:name="_Toc24131327"/>
      <w:r>
        <w:t>The beam management procedures are more lightweight than the handover procedures.</w:t>
      </w:r>
      <w:bookmarkEnd w:id="2"/>
      <w:r>
        <w:t xml:space="preserve"> </w:t>
      </w:r>
    </w:p>
    <w:p w14:paraId="21DB9607" w14:textId="12D42875" w:rsidR="0095750C" w:rsidRDefault="0056003B" w:rsidP="0035325E">
      <w:pPr>
        <w:pStyle w:val="BodyText"/>
      </w:pPr>
      <w:r>
        <w:t xml:space="preserve">As described above, the beam management procedures involve performing RSRP measurements on RSs, </w:t>
      </w:r>
      <w:proofErr w:type="gramStart"/>
      <w:r>
        <w:t>and also</w:t>
      </w:r>
      <w:proofErr w:type="gramEnd"/>
      <w:r>
        <w:t xml:space="preserve"> to signal TCI states, spatial relations and pathloss reference RSs to the UE. In Release-16, all these RSs are implicitly related to </w:t>
      </w:r>
      <w:r w:rsidR="00F321DE">
        <w:t xml:space="preserve">a </w:t>
      </w:r>
      <w:r>
        <w:t>serving cell</w:t>
      </w:r>
      <w:r w:rsidR="00F321DE">
        <w:t xml:space="preserve">: there is no possibility to include a reference to an RS in a non-serving cell in a TCI state. As the TCI states are used also when performing measurements on CSI-RS, </w:t>
      </w:r>
      <w:r w:rsidR="00460A53">
        <w:t>performing measurements on CSI-RS for beam management is not supported either.</w:t>
      </w:r>
    </w:p>
    <w:p w14:paraId="04CEA9C0" w14:textId="42D9EB42" w:rsidR="00F008EC" w:rsidRDefault="00F008EC" w:rsidP="00F008EC">
      <w:pPr>
        <w:pStyle w:val="Observation"/>
      </w:pPr>
      <w:bookmarkStart w:id="3" w:name="_Toc24131328"/>
      <w:r>
        <w:t>The Release-16 beam management procedures can only refer to RSs that are related to a serving cell.</w:t>
      </w:r>
      <w:bookmarkEnd w:id="3"/>
    </w:p>
    <w:p w14:paraId="17626C90" w14:textId="5A005712" w:rsidR="00635797" w:rsidRDefault="00E00EB8" w:rsidP="0035325E">
      <w:pPr>
        <w:pStyle w:val="BodyText"/>
      </w:pPr>
      <w:r>
        <w:t>T</w:t>
      </w:r>
      <w:r w:rsidR="00635797">
        <w:t>his limitation is somewhat artificial: the UE already today synchronizes and performs measurements on SSBs in non-serving cells, as part of handover procedure.</w:t>
      </w:r>
      <w:r w:rsidR="000975AD">
        <w:t xml:space="preserve"> </w:t>
      </w:r>
      <w:r>
        <w:t>Since the UE synchronizes to an SSB from a non-serving cell, the UE derives the QCL-</w:t>
      </w:r>
      <w:proofErr w:type="spellStart"/>
      <w:r w:rsidR="004F17DB">
        <w:t>TypeC</w:t>
      </w:r>
      <w:proofErr w:type="spellEnd"/>
      <w:r w:rsidR="004F17DB">
        <w:t xml:space="preserve"> </w:t>
      </w:r>
      <w:r>
        <w:t xml:space="preserve">properties of that </w:t>
      </w:r>
      <w:r w:rsidR="00791A29">
        <w:t>SSB and</w:t>
      </w:r>
      <w:r>
        <w:t xml:space="preserve"> could use these QCL-</w:t>
      </w:r>
      <w:proofErr w:type="spellStart"/>
      <w:r w:rsidR="004F17DB">
        <w:t>TypeC</w:t>
      </w:r>
      <w:proofErr w:type="spellEnd"/>
      <w:r w:rsidR="004F17DB">
        <w:t xml:space="preserve"> </w:t>
      </w:r>
      <w:r>
        <w:t>properties to demodulate other reference signals.</w:t>
      </w:r>
      <w:r w:rsidRPr="00E00EB8">
        <w:t xml:space="preserve"> </w:t>
      </w:r>
      <w:r>
        <w:t>In fact, the UE already performs measurements of L1-RSRP also for non-serving cells, but the specification does not provide any possibility for the UE to report these measurements:</w:t>
      </w:r>
    </w:p>
    <w:p w14:paraId="6E4E0C29" w14:textId="2274118A" w:rsidR="00E00EB8" w:rsidRDefault="00E00EB8" w:rsidP="00E00EB8">
      <w:pPr>
        <w:pStyle w:val="Observation"/>
      </w:pPr>
      <w:bookmarkStart w:id="4" w:name="_Toc24131329"/>
      <w:r>
        <w:t>The limitation that the beam management procedures only refer to RS related to a serving cell is artificial</w:t>
      </w:r>
      <w:r w:rsidR="00791A29">
        <w:t>, and UEs already today have support for at least some of the functionality related to inter-cell beam management.</w:t>
      </w:r>
      <w:bookmarkEnd w:id="4"/>
    </w:p>
    <w:p w14:paraId="49F637C4" w14:textId="14FD9DD6" w:rsidR="00071980" w:rsidRDefault="00727157" w:rsidP="0035325E">
      <w:pPr>
        <w:pStyle w:val="BodyText"/>
      </w:pPr>
      <w:r>
        <w:t xml:space="preserve">There is a </w:t>
      </w:r>
      <w:r w:rsidR="006242E5">
        <w:t xml:space="preserve">justifiable </w:t>
      </w:r>
      <w:r>
        <w:t xml:space="preserve">concern in RAN1 that the beam management procedure may be too slow. </w:t>
      </w:r>
      <w:r w:rsidR="00071980">
        <w:t xml:space="preserve">The </w:t>
      </w:r>
      <w:r w:rsidR="00703848">
        <w:t xml:space="preserve">measurement, reporting and </w:t>
      </w:r>
      <w:r w:rsidR="00071980">
        <w:t xml:space="preserve">signalling required to handle the UE mobility </w:t>
      </w:r>
      <w:r w:rsidR="006242E5">
        <w:t xml:space="preserve">may indeed </w:t>
      </w:r>
      <w:r w:rsidR="00071980">
        <w:t>become problematic for high UE speeds</w:t>
      </w:r>
      <w:r w:rsidR="00957128">
        <w:t xml:space="preserve"> in combination with </w:t>
      </w:r>
      <w:proofErr w:type="gramStart"/>
      <w:r w:rsidR="00957128">
        <w:t>a large number of</w:t>
      </w:r>
      <w:proofErr w:type="gramEnd"/>
      <w:r w:rsidR="00957128">
        <w:t xml:space="preserve"> narrow beams</w:t>
      </w:r>
      <w:r w:rsidR="00B0615D">
        <w:t>. For example, if a UE travelling at 85mph passes 50 meters from a gNB with 20 horizontal beams, the UE travels through one beam in around 140ms.</w:t>
      </w:r>
    </w:p>
    <w:p w14:paraId="62A25A93" w14:textId="72EB72A0" w:rsidR="00B0615D" w:rsidRDefault="00C440A8" w:rsidP="00B0615D">
      <w:pPr>
        <w:pStyle w:val="Observation"/>
      </w:pPr>
      <w:bookmarkStart w:id="5" w:name="_Toc24131330"/>
      <w:r>
        <w:t>Already for a moderate number of beams, a UE may pass through one beam in around 140ms, leading to a challenging problem for the beam management algorithms.</w:t>
      </w:r>
      <w:bookmarkEnd w:id="5"/>
    </w:p>
    <w:p w14:paraId="1F8C051B" w14:textId="06878D4B" w:rsidR="003C43E1" w:rsidRDefault="006242E5" w:rsidP="0035325E">
      <w:pPr>
        <w:pStyle w:val="BodyText"/>
      </w:pPr>
      <w:r>
        <w:t xml:space="preserve">However, the beam management algorithms are much faster than the handover signalling: the currently specified beam management procedures may take up to a few 10s of ms, dominated by the measurement time. There is no interrupt when moving from one beam to another. In contrast, the handover procedures may </w:t>
      </w:r>
      <w:r>
        <w:lastRenderedPageBreak/>
        <w:t>take a few 100ms, still dominated by the measurement time. The resulting interrupt will be in the order of a few 10s of ms. From an end-user performance point of view, it does not make sense to focus only on the intra-cell mobility, since the inter-cell mobility is slower and leads to larger interrupts:</w:t>
      </w:r>
    </w:p>
    <w:p w14:paraId="19442A2D" w14:textId="09CF5E87" w:rsidR="006242E5" w:rsidRDefault="006242E5" w:rsidP="006242E5">
      <w:pPr>
        <w:pStyle w:val="Observation"/>
      </w:pPr>
      <w:bookmarkStart w:id="6" w:name="_Toc24131331"/>
      <w:r>
        <w:t>There is little point in studying only intra-cell mobility, since inter-cell mobility is more problematic.</w:t>
      </w:r>
      <w:bookmarkEnd w:id="6"/>
    </w:p>
    <w:p w14:paraId="5E56193C" w14:textId="42A64270" w:rsidR="00791A29" w:rsidRDefault="00980B50" w:rsidP="006242E5">
      <w:pPr>
        <w:pStyle w:val="BodyText"/>
      </w:pPr>
      <w:r>
        <w:t xml:space="preserve">We share the view that the </w:t>
      </w:r>
      <w:r w:rsidR="007A4C3C">
        <w:t xml:space="preserve">Release-16 </w:t>
      </w:r>
      <w:r>
        <w:t xml:space="preserve">beam management procedures are still too clunky. It is relevant to streamline the Release-16 procedures, building on what is already specified. The flexibility that is inherent in the Release-15 </w:t>
      </w:r>
      <w:r w:rsidR="00791A29">
        <w:t>specification should be trimmed to support the most common deployment cases and facilitate operation at high UE speeds and narrower beams:</w:t>
      </w:r>
    </w:p>
    <w:p w14:paraId="643B33DE" w14:textId="0B8EB9AF" w:rsidR="00980B50" w:rsidRDefault="00791A29" w:rsidP="00791A29">
      <w:pPr>
        <w:pStyle w:val="Observation"/>
      </w:pPr>
      <w:bookmarkStart w:id="7" w:name="_Toc24131332"/>
      <w:r>
        <w:t>The Release-16 beam management procedures need to be further streamlined to facilitate operation at higher UE speeds and narrower beams.</w:t>
      </w:r>
      <w:bookmarkEnd w:id="7"/>
    </w:p>
    <w:p w14:paraId="7D762FAF" w14:textId="6C2C9AB9" w:rsidR="00791A29" w:rsidRDefault="00791A29" w:rsidP="00791A29">
      <w:pPr>
        <w:pStyle w:val="BodyText"/>
      </w:pPr>
      <w:r>
        <w:t xml:space="preserve">Yet another point to note is that NR will be evolved to even higher carrier frequencies </w:t>
      </w:r>
      <w:proofErr w:type="gramStart"/>
      <w:r>
        <w:t>and also</w:t>
      </w:r>
      <w:proofErr w:type="gramEnd"/>
      <w:r>
        <w:t xml:space="preserve"> to other use cases, e.g., NTN, where the beams will be narrower and speeds higher. Designing </w:t>
      </w:r>
      <w:r w:rsidR="00B660D6">
        <w:t xml:space="preserve">faster </w:t>
      </w:r>
      <w:r>
        <w:t xml:space="preserve">beam management solutions </w:t>
      </w:r>
      <w:r w:rsidR="00B660D6">
        <w:t>with less overhead is thus very important. When doing this streamlining, the additional functionality needed to support also inter-cell mobility beam management should be introduced as well.</w:t>
      </w:r>
    </w:p>
    <w:p w14:paraId="0638A319" w14:textId="32CA7418" w:rsidR="00B660D6" w:rsidRDefault="00B660D6" w:rsidP="00B660D6">
      <w:pPr>
        <w:pStyle w:val="Proposal"/>
      </w:pPr>
      <w:bookmarkStart w:id="8" w:name="_Toc24131337"/>
      <w:r>
        <w:t>In Release-17, streamline the beam management procedures to facilitate operation for higher UE speeds and new use cases.</w:t>
      </w:r>
      <w:bookmarkEnd w:id="8"/>
    </w:p>
    <w:p w14:paraId="584F22A7" w14:textId="4D68336F" w:rsidR="00B660D6" w:rsidRDefault="00B660D6" w:rsidP="00B660D6">
      <w:pPr>
        <w:pStyle w:val="Proposal"/>
      </w:pPr>
      <w:bookmarkStart w:id="9" w:name="_Toc24131338"/>
      <w:r>
        <w:t>The Release-17 beam management procedure should support also inter-cell operation.</w:t>
      </w:r>
      <w:bookmarkEnd w:id="9"/>
    </w:p>
    <w:p w14:paraId="736A1D48" w14:textId="3189F587" w:rsidR="006242E5" w:rsidRDefault="006242E5" w:rsidP="006242E5">
      <w:pPr>
        <w:pStyle w:val="BodyText"/>
      </w:pPr>
      <w:r>
        <w:t>We note that the beam management procedures were introduced with FR2 in mind. However, the procedures apply also to FR1: L1-RSRP reporting</w:t>
      </w:r>
      <w:r w:rsidR="00980B50">
        <w:t>, signalling of TCI states and pathloss reference RSs apply also to FR1. Anything that is specified for FR2 is also applicable to FR1.</w:t>
      </w:r>
    </w:p>
    <w:p w14:paraId="149D0B78" w14:textId="6480D369" w:rsidR="00B660D6" w:rsidRDefault="00B660D6" w:rsidP="006242E5">
      <w:pPr>
        <w:pStyle w:val="BodyText"/>
      </w:pPr>
      <w:r>
        <w:t>Finally</w:t>
      </w:r>
      <w:r w:rsidR="006F318A">
        <w:t>,</w:t>
      </w:r>
      <w:r>
        <w:t xml:space="preserve"> we note that to define inter-cell beam management, RAN2 involvement is</w:t>
      </w:r>
      <w:r w:rsidR="006F318A">
        <w:t xml:space="preserve"> crucial</w:t>
      </w:r>
      <w:r>
        <w:t xml:space="preserve">. </w:t>
      </w:r>
    </w:p>
    <w:p w14:paraId="49A03D51" w14:textId="25A4AD05" w:rsidR="00F63950" w:rsidRDefault="00230D18" w:rsidP="00F63950">
      <w:pPr>
        <w:pStyle w:val="Heading2"/>
      </w:pPr>
      <w:r>
        <w:t>2.2</w:t>
      </w:r>
      <w:r>
        <w:tab/>
      </w:r>
      <w:r w:rsidR="0024563A">
        <w:t>Multi-TRP</w:t>
      </w:r>
    </w:p>
    <w:p w14:paraId="7BE7B532" w14:textId="5741EAAE" w:rsidR="00832A91" w:rsidRDefault="00832A91" w:rsidP="00832A91">
      <w:pPr>
        <w:pStyle w:val="Heading3"/>
      </w:pPr>
      <w:r>
        <w:rPr>
          <w:noProof/>
        </w:rPr>
        <w:t>2.3.1      Support of DL SPS</w:t>
      </w:r>
    </w:p>
    <w:p w14:paraId="4CCC1AA6" w14:textId="318AC7BF" w:rsidR="00B379A9" w:rsidRDefault="00301B4B" w:rsidP="00B379A9">
      <w:pPr>
        <w:jc w:val="both"/>
        <w:rPr>
          <w:lang w:val="en-AU"/>
        </w:rPr>
      </w:pPr>
      <w:r w:rsidRPr="00946C34">
        <w:rPr>
          <w:rFonts w:ascii="Arial" w:hAnsi="Arial"/>
          <w:lang w:eastAsia="zh-CN"/>
        </w:rPr>
        <w:t xml:space="preserve">In NR Rel-16, different Multi-TRP URLLC schemes were introduced </w:t>
      </w:r>
      <w:r w:rsidR="00946C34" w:rsidRPr="00946C34">
        <w:rPr>
          <w:rFonts w:ascii="Arial" w:hAnsi="Arial"/>
          <w:lang w:eastAsia="zh-CN"/>
        </w:rPr>
        <w:t xml:space="preserve">to </w:t>
      </w:r>
      <w:r w:rsidR="001E0FF1">
        <w:rPr>
          <w:rFonts w:ascii="Arial" w:hAnsi="Arial"/>
          <w:lang w:eastAsia="zh-CN"/>
        </w:rPr>
        <w:t>improve</w:t>
      </w:r>
      <w:r w:rsidR="00946C34" w:rsidRPr="00946C34">
        <w:rPr>
          <w:rFonts w:ascii="Arial" w:hAnsi="Arial"/>
          <w:lang w:eastAsia="zh-CN"/>
        </w:rPr>
        <w:t xml:space="preserve"> PDSCH reliability</w:t>
      </w:r>
      <w:r w:rsidR="00C229A0">
        <w:rPr>
          <w:rFonts w:ascii="Arial" w:hAnsi="Arial"/>
          <w:lang w:eastAsia="zh-CN"/>
        </w:rPr>
        <w:t xml:space="preserve">/latency reduction.  But the focus in Rel-16 was on dynamically scheduled PDSCH </w:t>
      </w:r>
      <w:r w:rsidR="001E0FF1">
        <w:rPr>
          <w:rFonts w:ascii="Arial" w:hAnsi="Arial"/>
          <w:lang w:eastAsia="zh-CN"/>
        </w:rPr>
        <w:t xml:space="preserve">reception.  </w:t>
      </w:r>
      <w:r w:rsidR="00F516F1">
        <w:rPr>
          <w:rFonts w:ascii="Arial" w:hAnsi="Arial"/>
          <w:lang w:eastAsia="zh-CN"/>
        </w:rPr>
        <w:t>Many URLLC/</w:t>
      </w:r>
      <w:proofErr w:type="spellStart"/>
      <w:r w:rsidR="00F516F1">
        <w:rPr>
          <w:rFonts w:ascii="Arial" w:hAnsi="Arial"/>
          <w:lang w:eastAsia="zh-CN"/>
        </w:rPr>
        <w:t>IIoT</w:t>
      </w:r>
      <w:proofErr w:type="spellEnd"/>
      <w:r w:rsidR="00F516F1">
        <w:rPr>
          <w:rFonts w:ascii="Arial" w:hAnsi="Arial"/>
          <w:lang w:eastAsia="zh-CN"/>
        </w:rPr>
        <w:t xml:space="preserve"> services </w:t>
      </w:r>
      <w:r w:rsidR="00C21CB3">
        <w:rPr>
          <w:rFonts w:ascii="Arial" w:hAnsi="Arial"/>
          <w:lang w:eastAsia="zh-CN"/>
        </w:rPr>
        <w:t xml:space="preserve">are known to be characterized by periodic traffic patterns.   </w:t>
      </w:r>
      <w:r w:rsidR="009C1605" w:rsidRPr="009C1605">
        <w:rPr>
          <w:rFonts w:ascii="Arial" w:hAnsi="Arial"/>
          <w:lang w:eastAsia="zh-CN"/>
        </w:rPr>
        <w:t xml:space="preserve">In Rel-16, for </w:t>
      </w:r>
      <w:proofErr w:type="spellStart"/>
      <w:r w:rsidR="009C1605" w:rsidRPr="009C1605">
        <w:rPr>
          <w:rFonts w:ascii="Arial" w:hAnsi="Arial"/>
          <w:lang w:eastAsia="zh-CN"/>
        </w:rPr>
        <w:t>IIoT</w:t>
      </w:r>
      <w:proofErr w:type="spellEnd"/>
      <w:r w:rsidR="009C1605" w:rsidRPr="009C1605">
        <w:rPr>
          <w:rFonts w:ascii="Arial" w:hAnsi="Arial"/>
          <w:lang w:eastAsia="zh-CN"/>
        </w:rPr>
        <w:t xml:space="preserve"> (Industrial Internet of Things) support, it has been agreed that multiple DL SPS configurations can be simultaneously active on a BWP of a serving cell.</w:t>
      </w:r>
      <w:r w:rsidR="002E23CB">
        <w:rPr>
          <w:rFonts w:ascii="Arial" w:hAnsi="Arial"/>
          <w:lang w:eastAsia="zh-CN"/>
        </w:rPr>
        <w:t xml:space="preserve">  </w:t>
      </w:r>
      <w:r w:rsidR="002E23CB" w:rsidRPr="002E23CB">
        <w:rPr>
          <w:rFonts w:ascii="Arial" w:hAnsi="Arial"/>
          <w:lang w:eastAsia="zh-CN"/>
        </w:rPr>
        <w:t xml:space="preserve">Separate activation, as well as separate release, for different DL SPS configurations is to be supported for a given BWP of a serving cell. The motivation is for example that different </w:t>
      </w:r>
      <w:proofErr w:type="spellStart"/>
      <w:r w:rsidR="002E23CB" w:rsidRPr="002E23CB">
        <w:rPr>
          <w:rFonts w:ascii="Arial" w:hAnsi="Arial"/>
          <w:lang w:eastAsia="zh-CN"/>
        </w:rPr>
        <w:t>IIoT</w:t>
      </w:r>
      <w:proofErr w:type="spellEnd"/>
      <w:r w:rsidR="002E23CB" w:rsidRPr="002E23CB">
        <w:rPr>
          <w:rFonts w:ascii="Arial" w:hAnsi="Arial"/>
          <w:lang w:eastAsia="zh-CN"/>
        </w:rPr>
        <w:t xml:space="preserve"> services may have different periodicity.</w:t>
      </w:r>
      <w:r w:rsidR="0065717F">
        <w:rPr>
          <w:rFonts w:ascii="Arial" w:hAnsi="Arial"/>
          <w:lang w:eastAsia="zh-CN"/>
        </w:rPr>
        <w:t xml:space="preserve">  </w:t>
      </w:r>
      <w:r w:rsidR="00175571">
        <w:rPr>
          <w:rFonts w:ascii="Arial" w:hAnsi="Arial"/>
          <w:lang w:eastAsia="zh-CN"/>
        </w:rPr>
        <w:t>Given</w:t>
      </w:r>
      <w:r w:rsidR="0065717F">
        <w:rPr>
          <w:rFonts w:ascii="Arial" w:hAnsi="Arial"/>
          <w:lang w:eastAsia="zh-CN"/>
        </w:rPr>
        <w:t xml:space="preserve"> </w:t>
      </w:r>
      <w:r w:rsidR="00175571">
        <w:rPr>
          <w:rFonts w:ascii="Arial" w:hAnsi="Arial"/>
          <w:lang w:eastAsia="zh-CN"/>
        </w:rPr>
        <w:t xml:space="preserve">Rel-16 multi-TRP URLLC schemes only support dynamically scheduled PDSCH reception, </w:t>
      </w:r>
      <w:r w:rsidR="00B2092B">
        <w:rPr>
          <w:rFonts w:ascii="Arial" w:hAnsi="Arial"/>
          <w:lang w:eastAsia="zh-CN"/>
        </w:rPr>
        <w:t>the support of multi-TRP URLLC schemes for DL SPS should be</w:t>
      </w:r>
      <w:r w:rsidR="00190E04">
        <w:rPr>
          <w:rFonts w:ascii="Arial" w:hAnsi="Arial"/>
          <w:lang w:eastAsia="zh-CN"/>
        </w:rPr>
        <w:t xml:space="preserve"> introduced in Rel-17 to extend the benefits of </w:t>
      </w:r>
      <w:proofErr w:type="spellStart"/>
      <w:r w:rsidR="00190E04">
        <w:rPr>
          <w:rFonts w:ascii="Arial" w:hAnsi="Arial"/>
          <w:lang w:eastAsia="zh-CN"/>
        </w:rPr>
        <w:t>multi-TRP</w:t>
      </w:r>
      <w:proofErr w:type="spellEnd"/>
      <w:r w:rsidR="00190E04">
        <w:rPr>
          <w:rFonts w:ascii="Arial" w:hAnsi="Arial"/>
          <w:lang w:eastAsia="zh-CN"/>
        </w:rPr>
        <w:t xml:space="preserve"> URLLC for </w:t>
      </w:r>
      <w:proofErr w:type="spellStart"/>
      <w:r w:rsidR="00190E04">
        <w:rPr>
          <w:rFonts w:ascii="Arial" w:hAnsi="Arial"/>
          <w:lang w:eastAsia="zh-CN"/>
        </w:rPr>
        <w:t>IIoT</w:t>
      </w:r>
      <w:proofErr w:type="spellEnd"/>
      <w:r w:rsidR="00190E04">
        <w:rPr>
          <w:rFonts w:ascii="Arial" w:hAnsi="Arial"/>
          <w:lang w:eastAsia="zh-CN"/>
        </w:rPr>
        <w:t xml:space="preserve"> services.</w:t>
      </w:r>
      <w:r w:rsidR="00B379A9">
        <w:rPr>
          <w:rFonts w:ascii="Arial" w:hAnsi="Arial"/>
          <w:lang w:eastAsia="zh-CN"/>
        </w:rPr>
        <w:t xml:space="preserve">  </w:t>
      </w:r>
      <w:r w:rsidR="00B379A9" w:rsidRPr="00B379A9">
        <w:rPr>
          <w:rFonts w:ascii="Arial" w:hAnsi="Arial"/>
          <w:lang w:eastAsia="zh-CN"/>
        </w:rPr>
        <w:t>Hence, we propose</w:t>
      </w:r>
    </w:p>
    <w:p w14:paraId="4D2732F6" w14:textId="79017E86" w:rsidR="00B379A9" w:rsidRDefault="00B379A9" w:rsidP="00B379A9">
      <w:pPr>
        <w:pStyle w:val="Proposal"/>
      </w:pPr>
      <w:bookmarkStart w:id="10" w:name="_Toc24131339"/>
      <w:r>
        <w:t xml:space="preserve">In Release-17, </w:t>
      </w:r>
      <w:r w:rsidRPr="00B379A9">
        <w:t xml:space="preserve">the support of multi-TRP URLLC schemes for DL SPS should be introduced to extend the benefits of </w:t>
      </w:r>
      <w:proofErr w:type="spellStart"/>
      <w:r w:rsidRPr="00B379A9">
        <w:t>multi-TRP</w:t>
      </w:r>
      <w:proofErr w:type="spellEnd"/>
      <w:r w:rsidRPr="00B379A9">
        <w:t xml:space="preserve"> URLLC for </w:t>
      </w:r>
      <w:proofErr w:type="spellStart"/>
      <w:r w:rsidRPr="00B379A9">
        <w:t>IIoT</w:t>
      </w:r>
      <w:proofErr w:type="spellEnd"/>
      <w:r w:rsidRPr="00B379A9">
        <w:t xml:space="preserve"> services</w:t>
      </w:r>
      <w:r>
        <w:t>.</w:t>
      </w:r>
      <w:bookmarkEnd w:id="10"/>
    </w:p>
    <w:p w14:paraId="3F8408D0" w14:textId="18ECAFE6" w:rsidR="00FA4A6F" w:rsidRDefault="000A07C1" w:rsidP="00FA4A6F">
      <w:pPr>
        <w:pStyle w:val="Heading3"/>
      </w:pPr>
      <w:r>
        <w:rPr>
          <w:noProof/>
        </w:rPr>
        <w:t xml:space="preserve">2.3.2      </w:t>
      </w:r>
      <w:r w:rsidR="001F7ED6">
        <w:rPr>
          <w:noProof/>
        </w:rPr>
        <w:t>Enhancements for PDCCH, PUCCH, and PUSCH</w:t>
      </w:r>
    </w:p>
    <w:p w14:paraId="378CFC57" w14:textId="4617B16E" w:rsidR="001F7ED6" w:rsidRDefault="00FA4A6F" w:rsidP="00FA4A6F">
      <w:pPr>
        <w:jc w:val="both"/>
        <w:rPr>
          <w:rFonts w:ascii="Arial" w:hAnsi="Arial"/>
          <w:lang w:eastAsia="zh-CN"/>
        </w:rPr>
      </w:pPr>
      <w:r w:rsidRPr="00946C34">
        <w:rPr>
          <w:rFonts w:ascii="Arial" w:hAnsi="Arial"/>
          <w:lang w:eastAsia="zh-CN"/>
        </w:rPr>
        <w:t xml:space="preserve">In NR Rel-16, </w:t>
      </w:r>
      <w:r w:rsidR="00707DEF">
        <w:rPr>
          <w:rFonts w:ascii="Arial" w:hAnsi="Arial"/>
          <w:lang w:eastAsia="zh-CN"/>
        </w:rPr>
        <w:t xml:space="preserve">although the original intention was to consider PDSCH/PDCCH/PUCCH an PUSCH enhancements for URLLC, </w:t>
      </w:r>
      <w:r w:rsidR="001F7ED6">
        <w:rPr>
          <w:rFonts w:ascii="Arial" w:hAnsi="Arial"/>
          <w:lang w:eastAsia="zh-CN"/>
        </w:rPr>
        <w:t xml:space="preserve">only PDSCH </w:t>
      </w:r>
      <w:r w:rsidR="00BC4610">
        <w:rPr>
          <w:rFonts w:ascii="Arial" w:hAnsi="Arial"/>
          <w:lang w:eastAsia="zh-CN"/>
        </w:rPr>
        <w:t xml:space="preserve">enhancements </w:t>
      </w:r>
      <w:r w:rsidR="00662758">
        <w:rPr>
          <w:rFonts w:ascii="Arial" w:hAnsi="Arial"/>
          <w:lang w:eastAsia="zh-CN"/>
        </w:rPr>
        <w:t>w</w:t>
      </w:r>
      <w:r w:rsidR="00BC4610">
        <w:rPr>
          <w:rFonts w:ascii="Arial" w:hAnsi="Arial"/>
          <w:lang w:eastAsia="zh-CN"/>
        </w:rPr>
        <w:t>ere introduced</w:t>
      </w:r>
      <w:r w:rsidR="00662758">
        <w:rPr>
          <w:rFonts w:ascii="Arial" w:hAnsi="Arial"/>
          <w:lang w:eastAsia="zh-CN"/>
        </w:rPr>
        <w:t xml:space="preserve"> for multi-TRP URLLC due to lack of time.</w:t>
      </w:r>
      <w:r w:rsidR="00F92193">
        <w:rPr>
          <w:rFonts w:ascii="Arial" w:hAnsi="Arial"/>
          <w:lang w:eastAsia="zh-CN"/>
        </w:rPr>
        <w:t xml:space="preserve">  Hence, </w:t>
      </w:r>
      <w:r w:rsidR="00CD5A11">
        <w:rPr>
          <w:rFonts w:ascii="Arial" w:hAnsi="Arial"/>
          <w:lang w:eastAsia="zh-CN"/>
        </w:rPr>
        <w:t>improved robustness and reliability for PDCCH, PUCCH, and PUSCH</w:t>
      </w:r>
      <w:r w:rsidR="00F010CB">
        <w:rPr>
          <w:rFonts w:ascii="Arial" w:hAnsi="Arial"/>
          <w:lang w:eastAsia="zh-CN"/>
        </w:rPr>
        <w:t xml:space="preserve"> </w:t>
      </w:r>
      <w:r w:rsidR="00661966">
        <w:rPr>
          <w:rFonts w:ascii="Arial" w:hAnsi="Arial"/>
          <w:lang w:eastAsia="zh-CN"/>
        </w:rPr>
        <w:t xml:space="preserve">should be considered as part of multi-TRP URLLC in NR Rel-17.  </w:t>
      </w:r>
      <w:r w:rsidR="0024666F">
        <w:rPr>
          <w:rFonts w:ascii="Arial" w:hAnsi="Arial"/>
          <w:lang w:eastAsia="zh-CN"/>
        </w:rPr>
        <w:t xml:space="preserve">These enhancements should </w:t>
      </w:r>
      <w:r w:rsidR="000E1230">
        <w:rPr>
          <w:rFonts w:ascii="Arial" w:hAnsi="Arial"/>
          <w:lang w:eastAsia="zh-CN"/>
        </w:rPr>
        <w:t>primarily</w:t>
      </w:r>
      <w:r w:rsidR="0024666F">
        <w:rPr>
          <w:rFonts w:ascii="Arial" w:hAnsi="Arial"/>
          <w:lang w:eastAsia="zh-CN"/>
        </w:rPr>
        <w:t xml:space="preserve"> target FR2 operation </w:t>
      </w:r>
      <w:r w:rsidR="00D610E1">
        <w:rPr>
          <w:rFonts w:ascii="Arial" w:hAnsi="Arial"/>
          <w:lang w:eastAsia="zh-CN"/>
        </w:rPr>
        <w:t xml:space="preserve">and multi-TRP as FR1 operation in most cases is a special case of FR2 features.  </w:t>
      </w:r>
      <w:r w:rsidR="007B5CCE">
        <w:rPr>
          <w:rFonts w:ascii="Arial" w:hAnsi="Arial"/>
          <w:lang w:eastAsia="zh-CN"/>
        </w:rPr>
        <w:t xml:space="preserve">For PUSCH </w:t>
      </w:r>
      <w:r w:rsidR="00015573">
        <w:rPr>
          <w:rFonts w:ascii="Arial" w:hAnsi="Arial"/>
          <w:lang w:eastAsia="zh-CN"/>
        </w:rPr>
        <w:t xml:space="preserve">Multi-TRP </w:t>
      </w:r>
      <w:r w:rsidR="007B5CCE">
        <w:rPr>
          <w:rFonts w:ascii="Arial" w:hAnsi="Arial"/>
          <w:lang w:eastAsia="zh-CN"/>
        </w:rPr>
        <w:t xml:space="preserve">enhancements, both </w:t>
      </w:r>
      <w:r w:rsidR="00894398">
        <w:rPr>
          <w:rFonts w:ascii="Arial" w:hAnsi="Arial"/>
          <w:lang w:eastAsia="zh-CN"/>
        </w:rPr>
        <w:t xml:space="preserve">single-DCI based PUSCH scheduling and configured grant based </w:t>
      </w:r>
      <w:r w:rsidR="00015573">
        <w:rPr>
          <w:rFonts w:ascii="Arial" w:hAnsi="Arial"/>
          <w:lang w:eastAsia="zh-CN"/>
        </w:rPr>
        <w:t>PUSCH</w:t>
      </w:r>
      <w:r w:rsidR="00B33294">
        <w:rPr>
          <w:rFonts w:ascii="Arial" w:hAnsi="Arial"/>
          <w:lang w:eastAsia="zh-CN"/>
        </w:rPr>
        <w:t xml:space="preserve"> should be considered.  Multi-DCI based PUSCH scheduling can be</w:t>
      </w:r>
      <w:r w:rsidR="00C30222">
        <w:rPr>
          <w:rFonts w:ascii="Arial" w:hAnsi="Arial"/>
          <w:lang w:eastAsia="zh-CN"/>
        </w:rPr>
        <w:t xml:space="preserve"> left out as </w:t>
      </w:r>
      <w:r w:rsidR="000D41B2">
        <w:rPr>
          <w:rFonts w:ascii="Arial" w:hAnsi="Arial"/>
          <w:lang w:eastAsia="zh-CN"/>
        </w:rPr>
        <w:t>the focus is mainly on scenarios with ideal backh</w:t>
      </w:r>
      <w:r w:rsidR="00595D54">
        <w:rPr>
          <w:rFonts w:ascii="Arial" w:hAnsi="Arial"/>
          <w:lang w:eastAsia="zh-CN"/>
        </w:rPr>
        <w:t xml:space="preserve">aul in which case single-DCI based PUSCH scheduling is </w:t>
      </w:r>
      <w:proofErr w:type="gramStart"/>
      <w:r w:rsidR="00595D54">
        <w:rPr>
          <w:rFonts w:ascii="Arial" w:hAnsi="Arial"/>
          <w:lang w:eastAsia="zh-CN"/>
        </w:rPr>
        <w:t>sufficient</w:t>
      </w:r>
      <w:proofErr w:type="gramEnd"/>
      <w:r w:rsidR="00595D54">
        <w:rPr>
          <w:rFonts w:ascii="Arial" w:hAnsi="Arial"/>
          <w:lang w:eastAsia="zh-CN"/>
        </w:rPr>
        <w:t xml:space="preserve">.  However, </w:t>
      </w:r>
      <w:r w:rsidR="00D53815">
        <w:rPr>
          <w:rFonts w:ascii="Arial" w:hAnsi="Arial"/>
          <w:lang w:eastAsia="zh-CN"/>
        </w:rPr>
        <w:t>for PDCCH repetition, multi-PDCCH reception (</w:t>
      </w:r>
      <w:proofErr w:type="spellStart"/>
      <w:r w:rsidR="00D53815">
        <w:rPr>
          <w:rFonts w:ascii="Arial" w:hAnsi="Arial"/>
          <w:lang w:eastAsia="zh-CN"/>
        </w:rPr>
        <w:t>i.e</w:t>
      </w:r>
      <w:proofErr w:type="spellEnd"/>
      <w:r w:rsidR="00D53815">
        <w:rPr>
          <w:rFonts w:ascii="Arial" w:hAnsi="Arial"/>
          <w:lang w:eastAsia="zh-CN"/>
        </w:rPr>
        <w:t>, multi-PDCCH yet single DCI) can be considered.</w:t>
      </w:r>
      <w:r w:rsidR="00140139">
        <w:rPr>
          <w:rFonts w:ascii="Arial" w:hAnsi="Arial"/>
          <w:lang w:eastAsia="zh-CN"/>
        </w:rPr>
        <w:t xml:space="preserve">  Hence, we propose</w:t>
      </w:r>
      <w:r w:rsidR="00C30222">
        <w:rPr>
          <w:rFonts w:ascii="Arial" w:hAnsi="Arial"/>
          <w:lang w:eastAsia="zh-CN"/>
        </w:rPr>
        <w:t xml:space="preserve"> </w:t>
      </w:r>
    </w:p>
    <w:p w14:paraId="1CBFDE02" w14:textId="0EA9D9B7" w:rsidR="00140139" w:rsidRDefault="00140139" w:rsidP="00140139">
      <w:pPr>
        <w:pStyle w:val="Proposal"/>
      </w:pPr>
      <w:bookmarkStart w:id="11" w:name="_Toc24131340"/>
      <w:r>
        <w:t xml:space="preserve">In Release-17, </w:t>
      </w:r>
      <w:r w:rsidR="00A50BBB" w:rsidRPr="00A50BBB">
        <w:t xml:space="preserve">Specify enhancement(s) on PDCCH/PUCCH/PUSCH reliability and latency in FR2 for multi-TRP case and multi-panel case at UE (using </w:t>
      </w:r>
      <w:proofErr w:type="spellStart"/>
      <w:proofErr w:type="gramStart"/>
      <w:r w:rsidR="00A50BBB" w:rsidRPr="00A50BBB">
        <w:t>TDM:ed</w:t>
      </w:r>
      <w:proofErr w:type="spellEnd"/>
      <w:proofErr w:type="gramEnd"/>
      <w:r w:rsidR="00A50BBB" w:rsidRPr="00A50BBB">
        <w:t xml:space="preserve"> panel </w:t>
      </w:r>
      <w:r w:rsidR="00A50BBB" w:rsidRPr="00A50BBB">
        <w:lastRenderedPageBreak/>
        <w:t>transmission), where specified solutions can be used also in single TRP case and/or in FR1</w:t>
      </w:r>
      <w:r>
        <w:t>.</w:t>
      </w:r>
      <w:bookmarkEnd w:id="11"/>
    </w:p>
    <w:p w14:paraId="21493118" w14:textId="0C9CA545" w:rsidR="009C52E2" w:rsidRDefault="009C52E2" w:rsidP="009C52E2">
      <w:pPr>
        <w:pStyle w:val="Heading3"/>
      </w:pPr>
      <w:r>
        <w:rPr>
          <w:noProof/>
        </w:rPr>
        <w:t>2.3.3 CSI enhancements for multi-TRP URLLC</w:t>
      </w:r>
    </w:p>
    <w:p w14:paraId="20772E73" w14:textId="2ED03B73" w:rsidR="00F92193" w:rsidRDefault="00B70BD4" w:rsidP="00FA4A6F">
      <w:pPr>
        <w:jc w:val="both"/>
        <w:rPr>
          <w:rFonts w:ascii="Arial" w:hAnsi="Arial"/>
          <w:lang w:eastAsia="zh-CN"/>
        </w:rPr>
      </w:pPr>
      <w:r>
        <w:rPr>
          <w:rFonts w:ascii="Arial" w:hAnsi="Arial"/>
          <w:lang w:eastAsia="zh-CN"/>
        </w:rPr>
        <w:t xml:space="preserve">In NR Rel-16, CSI enhancements </w:t>
      </w:r>
      <w:r w:rsidR="00460EB7">
        <w:rPr>
          <w:rFonts w:ascii="Arial" w:hAnsi="Arial"/>
          <w:lang w:eastAsia="zh-CN"/>
        </w:rPr>
        <w:t xml:space="preserve">for multi-TRP URLLC were not considered.  </w:t>
      </w:r>
      <w:r w:rsidR="00632618" w:rsidRPr="00A50F6C">
        <w:rPr>
          <w:rFonts w:ascii="Arial" w:hAnsi="Arial" w:cs="Arial"/>
          <w:lang w:eastAsia="zh-CN"/>
        </w:rPr>
        <w:t xml:space="preserve">Hence, this must be addressed in NR Rel-17, although we think </w:t>
      </w:r>
      <w:r w:rsidR="00710F76" w:rsidRPr="002121B2">
        <w:rPr>
          <w:rFonts w:ascii="Arial" w:hAnsi="Arial" w:cs="Arial"/>
          <w:lang w:eastAsia="zh-CN"/>
        </w:rPr>
        <w:t xml:space="preserve">the </w:t>
      </w:r>
      <w:r w:rsidR="00710F76" w:rsidRPr="004564C2">
        <w:rPr>
          <w:rFonts w:ascii="Arial" w:hAnsi="Arial" w:cs="Arial"/>
        </w:rPr>
        <w:t>overall link adaptation for URLLC with multi-TRP needs to be better understood</w:t>
      </w:r>
      <w:r w:rsidR="00827CE9" w:rsidRPr="004564C2">
        <w:rPr>
          <w:rFonts w:ascii="Arial" w:hAnsi="Arial" w:cs="Arial"/>
        </w:rPr>
        <w:t xml:space="preserve"> first.  Hence, </w:t>
      </w:r>
      <w:r w:rsidR="00D21223" w:rsidRPr="004564C2">
        <w:rPr>
          <w:rFonts w:ascii="Arial" w:hAnsi="Arial" w:cs="Arial"/>
        </w:rPr>
        <w:t xml:space="preserve">studies of </w:t>
      </w:r>
      <w:r w:rsidR="006246D2" w:rsidRPr="004564C2">
        <w:rPr>
          <w:rFonts w:ascii="Arial" w:hAnsi="Arial" w:cs="Arial"/>
        </w:rPr>
        <w:t xml:space="preserve">CSI enhancements for Multi-TRP URLLC should first be performed and if </w:t>
      </w:r>
      <w:proofErr w:type="gramStart"/>
      <w:r w:rsidR="00B057C1" w:rsidRPr="004564C2">
        <w:rPr>
          <w:rFonts w:ascii="Arial" w:hAnsi="Arial" w:cs="Arial"/>
        </w:rPr>
        <w:t>sufficient</w:t>
      </w:r>
      <w:proofErr w:type="gramEnd"/>
      <w:r w:rsidR="00B057C1" w:rsidRPr="004564C2">
        <w:rPr>
          <w:rFonts w:ascii="Arial" w:hAnsi="Arial" w:cs="Arial"/>
        </w:rPr>
        <w:t xml:space="preserve"> benefits are found </w:t>
      </w:r>
      <w:r w:rsidR="00914E2F" w:rsidRPr="004564C2">
        <w:rPr>
          <w:rFonts w:ascii="Arial" w:hAnsi="Arial" w:cs="Arial"/>
        </w:rPr>
        <w:t xml:space="preserve">such </w:t>
      </w:r>
      <w:r w:rsidR="00E678D0" w:rsidRPr="004564C2">
        <w:rPr>
          <w:rFonts w:ascii="Arial" w:hAnsi="Arial" w:cs="Arial"/>
        </w:rPr>
        <w:t>CSI enhancements can be specified in NR Rel-17.</w:t>
      </w:r>
    </w:p>
    <w:p w14:paraId="4D21E7FA" w14:textId="4B7BECB7" w:rsidR="00E678D0" w:rsidRDefault="00E678D0" w:rsidP="00E678D0">
      <w:pPr>
        <w:pStyle w:val="Proposal"/>
      </w:pPr>
      <w:bookmarkStart w:id="12" w:name="_Toc24131341"/>
      <w:r>
        <w:t xml:space="preserve">In Release-17, </w:t>
      </w:r>
      <w:r w:rsidRPr="004564C2">
        <w:rPr>
          <w:rFonts w:eastAsia="SimSun" w:cs="Arial"/>
          <w:lang w:val="en-US"/>
        </w:rPr>
        <w:t xml:space="preserve">study the benefits of </w:t>
      </w:r>
      <w:r w:rsidR="00174166" w:rsidRPr="004564C2">
        <w:rPr>
          <w:rFonts w:eastAsia="SimSun" w:cs="Arial"/>
          <w:lang w:val="en-US"/>
        </w:rPr>
        <w:t xml:space="preserve">CSI </w:t>
      </w:r>
      <w:r w:rsidR="000E1230" w:rsidRPr="004564C2">
        <w:rPr>
          <w:rFonts w:eastAsia="SimSun" w:cs="Arial"/>
          <w:lang w:val="en-US"/>
        </w:rPr>
        <w:t>enhancements</w:t>
      </w:r>
      <w:r w:rsidR="00174166" w:rsidRPr="004564C2">
        <w:rPr>
          <w:rFonts w:eastAsia="SimSun" w:cs="Arial"/>
          <w:lang w:val="en-US"/>
        </w:rPr>
        <w:t xml:space="preserve"> for </w:t>
      </w:r>
      <w:proofErr w:type="spellStart"/>
      <w:r w:rsidR="00174166" w:rsidRPr="004564C2">
        <w:rPr>
          <w:rFonts w:eastAsia="SimSun" w:cs="Arial"/>
          <w:lang w:val="en-US"/>
        </w:rPr>
        <w:t>multi-TRP</w:t>
      </w:r>
      <w:proofErr w:type="spellEnd"/>
      <w:r w:rsidR="00174166" w:rsidRPr="004564C2">
        <w:rPr>
          <w:rFonts w:eastAsia="SimSun" w:cs="Arial"/>
          <w:lang w:val="en-US"/>
        </w:rPr>
        <w:t xml:space="preserve"> URLLC and</w:t>
      </w:r>
      <w:r w:rsidRPr="004564C2">
        <w:rPr>
          <w:rFonts w:eastAsia="SimSun" w:cs="Arial"/>
          <w:lang w:val="en-US"/>
        </w:rPr>
        <w:t>, if</w:t>
      </w:r>
      <w:r w:rsidR="00174166" w:rsidRPr="004564C2">
        <w:rPr>
          <w:rFonts w:eastAsia="SimSun" w:cs="Arial"/>
          <w:lang w:val="en-US"/>
        </w:rPr>
        <w:t xml:space="preserve"> found</w:t>
      </w:r>
      <w:r w:rsidRPr="004564C2">
        <w:rPr>
          <w:rFonts w:eastAsia="SimSun" w:cs="Arial"/>
          <w:lang w:val="en-US"/>
        </w:rPr>
        <w:t xml:space="preserve"> beneficial, specify CSI enhancements for </w:t>
      </w:r>
      <w:proofErr w:type="spellStart"/>
      <w:r w:rsidRPr="004564C2">
        <w:rPr>
          <w:rFonts w:eastAsia="SimSun" w:cs="Arial"/>
          <w:lang w:val="en-US"/>
        </w:rPr>
        <w:t>multi-TRP</w:t>
      </w:r>
      <w:proofErr w:type="spellEnd"/>
      <w:r w:rsidR="00AD2A75" w:rsidRPr="004564C2">
        <w:rPr>
          <w:rFonts w:eastAsia="SimSun" w:cs="Arial"/>
          <w:lang w:val="en-US"/>
        </w:rPr>
        <w:t xml:space="preserve"> </w:t>
      </w:r>
      <w:r w:rsidRPr="004564C2">
        <w:rPr>
          <w:rFonts w:eastAsia="SimSun" w:cs="Arial"/>
          <w:lang w:val="en-US"/>
        </w:rPr>
        <w:t>targeting URLLC</w:t>
      </w:r>
      <w:r w:rsidR="00AD2A75" w:rsidRPr="004564C2">
        <w:rPr>
          <w:rFonts w:eastAsia="SimSun" w:cs="Arial"/>
          <w:lang w:val="en-US"/>
        </w:rPr>
        <w:t>/</w:t>
      </w:r>
      <w:proofErr w:type="spellStart"/>
      <w:r w:rsidR="00AD2A75" w:rsidRPr="004564C2">
        <w:rPr>
          <w:rFonts w:eastAsia="SimSun" w:cs="Arial"/>
          <w:lang w:val="en-US"/>
        </w:rPr>
        <w:t>IIoT</w:t>
      </w:r>
      <w:proofErr w:type="spellEnd"/>
      <w:r w:rsidRPr="004564C2">
        <w:rPr>
          <w:rFonts w:eastAsia="SimSun" w:cs="Arial"/>
          <w:lang w:val="en-US"/>
        </w:rPr>
        <w:t xml:space="preserve"> operation</w:t>
      </w:r>
      <w:r>
        <w:t>.</w:t>
      </w:r>
      <w:bookmarkEnd w:id="12"/>
    </w:p>
    <w:p w14:paraId="30C40123" w14:textId="77777777" w:rsidR="006F0F57" w:rsidRPr="0078310C" w:rsidRDefault="006F0F57" w:rsidP="00F223D8"/>
    <w:p w14:paraId="4A0D13CB" w14:textId="64CE0B5C" w:rsidR="00F63950" w:rsidRDefault="00230D18" w:rsidP="00F63950">
      <w:pPr>
        <w:pStyle w:val="Heading2"/>
      </w:pPr>
      <w:r>
        <w:t>2.3</w:t>
      </w:r>
      <w:r>
        <w:tab/>
      </w:r>
      <w:r w:rsidR="0024563A">
        <w:t>SRS enhancements</w:t>
      </w:r>
    </w:p>
    <w:p w14:paraId="1AF4C78D" w14:textId="6F6ED2CF" w:rsidR="009E58A2" w:rsidRDefault="00AF5C52" w:rsidP="00AF5C52">
      <w:pPr>
        <w:pStyle w:val="Heading3"/>
      </w:pPr>
      <w:r>
        <w:rPr>
          <w:noProof/>
        </w:rPr>
        <w:t xml:space="preserve">2.3.1      </w:t>
      </w:r>
      <w:r w:rsidR="00792923">
        <w:rPr>
          <w:noProof/>
        </w:rPr>
        <w:t>Enhanced</w:t>
      </w:r>
      <w:r>
        <w:rPr>
          <w:noProof/>
        </w:rPr>
        <w:t xml:space="preserve"> aperiodic SRS offset</w:t>
      </w:r>
      <w:r w:rsidR="00792923">
        <w:rPr>
          <w:noProof/>
        </w:rPr>
        <w:t xml:space="preserve"> to improve reciprocity based operation in TDD</w:t>
      </w:r>
    </w:p>
    <w:p w14:paraId="653FA371" w14:textId="53C07FD4" w:rsidR="009E58A2" w:rsidRDefault="009E58A2" w:rsidP="00BC0BC2">
      <w:pPr>
        <w:pStyle w:val="BodyText"/>
        <w:rPr>
          <w:lang w:eastAsia="en-US"/>
        </w:rPr>
      </w:pPr>
      <w:r>
        <w:t xml:space="preserve">The time between the trigger of an aperiodic SRS and the SRS transmission is an RRC configured value </w:t>
      </w:r>
      <w:r>
        <w:rPr>
          <w:i/>
          <w:iCs/>
        </w:rPr>
        <w:t xml:space="preserve">k, </w:t>
      </w:r>
      <w:r>
        <w:t xml:space="preserve">i.e. the </w:t>
      </w:r>
      <w:proofErr w:type="spellStart"/>
      <w:r>
        <w:rPr>
          <w:i/>
          <w:iCs/>
        </w:rPr>
        <w:t>slotoffset</w:t>
      </w:r>
      <w:proofErr w:type="spellEnd"/>
      <w:r>
        <w:t xml:space="preserve"> parameter, for each SRS resource set. The number of SRS sets that can be configured for DL CSI acquisition is very limited (maximum two). </w:t>
      </w:r>
    </w:p>
    <w:p w14:paraId="4E57DE39" w14:textId="77777777" w:rsidR="00254DB4" w:rsidRDefault="009E58A2" w:rsidP="00BC0BC2">
      <w:pPr>
        <w:pStyle w:val="BodyText"/>
      </w:pPr>
      <w:r>
        <w:t xml:space="preserve">This means that the SRS must be triggered in specific slots since the distance to an UL slot is fixed in a semi-static TDD configuration. In contrast, we don’t have such rigid timing restrictions in LTE. </w:t>
      </w:r>
    </w:p>
    <w:p w14:paraId="556E25BA" w14:textId="30A78585" w:rsidR="009E58A2" w:rsidRDefault="009E58A2" w:rsidP="00BC0BC2">
      <w:pPr>
        <w:pStyle w:val="BodyText"/>
      </w:pPr>
      <w:r>
        <w:t xml:space="preserve">The consequence is that aperiodic SRS may not be able to be triggered when needed, e.g., due to PDCCH congestion, lack of an UL or DL grant, etc. This becomes a </w:t>
      </w:r>
      <w:r w:rsidR="00BC0BC2">
        <w:t xml:space="preserve">PDCCH capacity </w:t>
      </w:r>
      <w:r>
        <w:t xml:space="preserve">bottleneck for reciprocity-based MU-MIMO operation where it is beneficial to trigger SRS for </w:t>
      </w:r>
      <w:r w:rsidR="00254DB4">
        <w:t xml:space="preserve">multiple </w:t>
      </w:r>
      <w:r>
        <w:t xml:space="preserve">candidate co-scheduled users </w:t>
      </w:r>
      <w:r w:rsidR="00254DB4">
        <w:t>to transmit SRS at the same time</w:t>
      </w:r>
      <w:r>
        <w:t xml:space="preserve">. </w:t>
      </w:r>
    </w:p>
    <w:p w14:paraId="7DAA3E30" w14:textId="77777777" w:rsidR="009E58A2" w:rsidRDefault="009E58A2" w:rsidP="00AF5C52">
      <w:pPr>
        <w:keepNext/>
        <w:jc w:val="center"/>
      </w:pPr>
      <w:r>
        <w:rPr>
          <w:noProof/>
        </w:rPr>
        <w:drawing>
          <wp:inline distT="0" distB="0" distL="0" distR="0" wp14:anchorId="3B5C1A9E" wp14:editId="5775F3EB">
            <wp:extent cx="3678555" cy="351561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1.jpg"/>
                    <pic:cNvPicPr/>
                  </pic:nvPicPr>
                  <pic:blipFill>
                    <a:blip r:embed="rId12">
                      <a:extLst>
                        <a:ext uri="{28A0092B-C50C-407E-A947-70E740481C1C}">
                          <a14:useLocalDpi xmlns:a14="http://schemas.microsoft.com/office/drawing/2010/main" val="0"/>
                        </a:ext>
                      </a:extLst>
                    </a:blip>
                    <a:stretch>
                      <a:fillRect/>
                    </a:stretch>
                  </pic:blipFill>
                  <pic:spPr>
                    <a:xfrm>
                      <a:off x="0" y="0"/>
                      <a:ext cx="3686930" cy="3523616"/>
                    </a:xfrm>
                    <a:prstGeom prst="rect">
                      <a:avLst/>
                    </a:prstGeom>
                  </pic:spPr>
                </pic:pic>
              </a:graphicData>
            </a:graphic>
          </wp:inline>
        </w:drawing>
      </w:r>
    </w:p>
    <w:p w14:paraId="0720ADAE" w14:textId="7C073F71" w:rsidR="009E58A2" w:rsidRDefault="009E58A2" w:rsidP="00AF5C52">
      <w:pPr>
        <w:pStyle w:val="Caption"/>
        <w:jc w:val="center"/>
      </w:pPr>
      <w:r>
        <w:t xml:space="preserve">Figure </w:t>
      </w:r>
      <w:r w:rsidR="002A74AF">
        <w:fldChar w:fldCharType="begin"/>
      </w:r>
      <w:r w:rsidR="002A74AF">
        <w:instrText xml:space="preserve"> SEQ Figure \* ARABIC </w:instrText>
      </w:r>
      <w:r w:rsidR="002A74AF">
        <w:fldChar w:fldCharType="separate"/>
      </w:r>
      <w:r w:rsidR="00247153">
        <w:rPr>
          <w:noProof/>
        </w:rPr>
        <w:t>2</w:t>
      </w:r>
      <w:r w:rsidR="002A74AF">
        <w:rPr>
          <w:noProof/>
        </w:rPr>
        <w:fldChar w:fldCharType="end"/>
      </w:r>
      <w:r>
        <w:t xml:space="preserve"> The static slot</w:t>
      </w:r>
      <w:r w:rsidR="00EB1965">
        <w:t xml:space="preserve"> </w:t>
      </w:r>
      <w:r>
        <w:t>offset for aperiodic SRS leads to PDCCH congestion (upper), while if LTE approach is applied, the PDCCH load can be distributed (lower).</w:t>
      </w:r>
    </w:p>
    <w:p w14:paraId="4F96BF8F" w14:textId="6F5B9BE3" w:rsidR="009E58A2" w:rsidRDefault="009E58A2" w:rsidP="00AF5C52">
      <w:pPr>
        <w:rPr>
          <w:lang w:val="en-AU"/>
        </w:rPr>
      </w:pPr>
    </w:p>
    <w:p w14:paraId="287837F2" w14:textId="19A7AF6E" w:rsidR="00EB7464" w:rsidRDefault="00EB7464" w:rsidP="00401CB3">
      <w:pPr>
        <w:pStyle w:val="BodyText"/>
        <w:rPr>
          <w:lang w:val="en-AU"/>
        </w:rPr>
      </w:pPr>
      <w:r>
        <w:rPr>
          <w:lang w:val="en-AU"/>
        </w:rPr>
        <w:lastRenderedPageBreak/>
        <w:t>Hence, we propose</w:t>
      </w:r>
    </w:p>
    <w:p w14:paraId="50193FFB" w14:textId="6ECCE5B6" w:rsidR="00EB7464" w:rsidRDefault="00EB7464" w:rsidP="00EB7464">
      <w:pPr>
        <w:pStyle w:val="Proposal"/>
      </w:pPr>
      <w:bookmarkStart w:id="13" w:name="_Toc24131342"/>
      <w:r>
        <w:t>In Release-17, improve the flexibility f</w:t>
      </w:r>
      <w:r w:rsidR="00BA587B">
        <w:t xml:space="preserve">or triggering aperiodic SRS so that </w:t>
      </w:r>
      <w:r w:rsidR="00994964">
        <w:t>many</w:t>
      </w:r>
      <w:r w:rsidR="00BA587B">
        <w:t xml:space="preserve"> UEs can transmit SRS in the same uplink slot, although the triggering </w:t>
      </w:r>
      <w:r w:rsidR="00FE1153">
        <w:t>grants to these UEs can be transmitted in multiple downlink slots in order to distribute the PDCCH load.</w:t>
      </w:r>
      <w:bookmarkEnd w:id="13"/>
    </w:p>
    <w:p w14:paraId="5101E0C8" w14:textId="6057154F" w:rsidR="00EB7464" w:rsidRDefault="00EB7464" w:rsidP="00AF5C52"/>
    <w:p w14:paraId="07D96805" w14:textId="6AB32388" w:rsidR="003919E7" w:rsidRPr="00EB7464" w:rsidRDefault="003919E7" w:rsidP="003919E7">
      <w:pPr>
        <w:pStyle w:val="Heading3"/>
      </w:pPr>
      <w:r>
        <w:t xml:space="preserve">2.3.2   </w:t>
      </w:r>
      <w:r>
        <w:tab/>
        <w:t xml:space="preserve">Enhancement to </w:t>
      </w:r>
      <w:r w:rsidR="00A65B5B">
        <w:t xml:space="preserve">avoid </w:t>
      </w:r>
      <w:r w:rsidRPr="009E1915">
        <w:t>duplicated SRS configurations for same purpose</w:t>
      </w:r>
      <w:r w:rsidR="00927E11">
        <w:t xml:space="preserve"> in reciprocity based TDD</w:t>
      </w:r>
    </w:p>
    <w:p w14:paraId="30BEF287" w14:textId="7DD58916" w:rsidR="00D65029" w:rsidRDefault="00C36B5D" w:rsidP="00401CB3">
      <w:pPr>
        <w:pStyle w:val="BodyText"/>
        <w:rPr>
          <w:lang w:val="en-AU"/>
        </w:rPr>
      </w:pPr>
      <w:r>
        <w:rPr>
          <w:lang w:val="en-AU"/>
        </w:rPr>
        <w:t xml:space="preserve">Currently, NR </w:t>
      </w:r>
      <w:r w:rsidR="00927E11">
        <w:rPr>
          <w:lang w:val="en-AU"/>
        </w:rPr>
        <w:t xml:space="preserve">restricts </w:t>
      </w:r>
      <w:r>
        <w:rPr>
          <w:lang w:val="en-AU"/>
        </w:rPr>
        <w:t>an SRS resource set to be configured as either “</w:t>
      </w:r>
      <w:r w:rsidR="006A5335">
        <w:rPr>
          <w:lang w:val="en-AU"/>
        </w:rPr>
        <w:t>codebook” or “</w:t>
      </w:r>
      <w:proofErr w:type="spellStart"/>
      <w:r w:rsidR="006A5335">
        <w:rPr>
          <w:lang w:val="en-AU"/>
        </w:rPr>
        <w:t>antennaSwi</w:t>
      </w:r>
      <w:r w:rsidR="00927E11">
        <w:rPr>
          <w:lang w:val="en-AU"/>
        </w:rPr>
        <w:t>tching</w:t>
      </w:r>
      <w:proofErr w:type="spellEnd"/>
      <w:r w:rsidR="00927E11">
        <w:rPr>
          <w:lang w:val="en-AU"/>
        </w:rPr>
        <w:t xml:space="preserve">”. </w:t>
      </w:r>
      <w:r w:rsidR="00EB1965">
        <w:rPr>
          <w:lang w:val="en-AU"/>
        </w:rPr>
        <w:t xml:space="preserve">For </w:t>
      </w:r>
      <w:r w:rsidR="00401CB3">
        <w:rPr>
          <w:lang w:val="en-AU"/>
        </w:rPr>
        <w:t>reciprocity-based</w:t>
      </w:r>
      <w:r w:rsidR="00313370">
        <w:rPr>
          <w:lang w:val="en-AU"/>
        </w:rPr>
        <w:t xml:space="preserve"> operation, and for UEs that support full reciprocity, e.g. “2</w:t>
      </w:r>
      <w:r w:rsidR="001E41AB">
        <w:rPr>
          <w:lang w:val="en-AU"/>
        </w:rPr>
        <w:t xml:space="preserve">T=2R” then the gNB still </w:t>
      </w:r>
      <w:proofErr w:type="gramStart"/>
      <w:r w:rsidR="001E41AB">
        <w:rPr>
          <w:lang w:val="en-AU"/>
        </w:rPr>
        <w:t>have to</w:t>
      </w:r>
      <w:proofErr w:type="gramEnd"/>
      <w:r w:rsidR="001E41AB">
        <w:rPr>
          <w:lang w:val="en-AU"/>
        </w:rPr>
        <w:t xml:space="preserve"> configure two SRS resource sets for this UE, </w:t>
      </w:r>
      <w:r w:rsidR="0022544A">
        <w:rPr>
          <w:lang w:val="en-AU"/>
        </w:rPr>
        <w:t>one to support UL MIMO and one to support DL MIMO, i.e. “codebook” and “</w:t>
      </w:r>
      <w:proofErr w:type="spellStart"/>
      <w:r w:rsidR="0022544A">
        <w:rPr>
          <w:lang w:val="en-AU"/>
        </w:rPr>
        <w:t>antennaSwitching</w:t>
      </w:r>
      <w:proofErr w:type="spellEnd"/>
      <w:r w:rsidR="0022544A">
        <w:rPr>
          <w:lang w:val="en-AU"/>
        </w:rPr>
        <w:t xml:space="preserve">” respectively. The reason is that </w:t>
      </w:r>
      <w:r w:rsidR="00D65029">
        <w:rPr>
          <w:lang w:val="en-AU"/>
        </w:rPr>
        <w:t>the specification allow</w:t>
      </w:r>
      <w:r w:rsidR="00EB1965">
        <w:rPr>
          <w:lang w:val="en-AU"/>
        </w:rPr>
        <w:t>s</w:t>
      </w:r>
      <w:r w:rsidR="00D65029">
        <w:rPr>
          <w:lang w:val="en-AU"/>
        </w:rPr>
        <w:t xml:space="preserve"> the UE to perform different antenna virtualization for these two SRS resource sets. Hence, the SRS measurements performed on the SRS resource set configured for “codebook” cannot be used to obtain channel estimations for DL CSI acquisition.</w:t>
      </w:r>
    </w:p>
    <w:p w14:paraId="6FA92B7B" w14:textId="68253F02" w:rsidR="00D65029" w:rsidRDefault="00D65029" w:rsidP="00401CB3">
      <w:pPr>
        <w:pStyle w:val="BodyText"/>
        <w:rPr>
          <w:lang w:val="en-AU"/>
        </w:rPr>
      </w:pPr>
      <w:r>
        <w:rPr>
          <w:lang w:val="en-AU"/>
        </w:rPr>
        <w:t xml:space="preserve">This </w:t>
      </w:r>
      <w:r w:rsidR="00FF19FC">
        <w:rPr>
          <w:lang w:val="en-AU"/>
        </w:rPr>
        <w:t>implies that two SRS resource sets must be configured in this, very typical, mode of operation, which is unnecessary in terms of overhead.</w:t>
      </w:r>
      <w:r w:rsidR="00B37782">
        <w:rPr>
          <w:lang w:val="en-AU"/>
        </w:rPr>
        <w:t xml:space="preserve"> We thus propose:</w:t>
      </w:r>
    </w:p>
    <w:p w14:paraId="77EF2057" w14:textId="7292C681" w:rsidR="00B37782" w:rsidRDefault="00E820B9" w:rsidP="00994964">
      <w:pPr>
        <w:pStyle w:val="Proposal"/>
        <w:rPr>
          <w:lang w:val="en-AU"/>
        </w:rPr>
      </w:pPr>
      <w:bookmarkStart w:id="14" w:name="_Toc24131343"/>
      <w:r>
        <w:rPr>
          <w:lang w:val="en-AU"/>
        </w:rPr>
        <w:t>In Rel-17, i</w:t>
      </w:r>
      <w:r w:rsidR="00B37782">
        <w:rPr>
          <w:lang w:val="en-AU"/>
        </w:rPr>
        <w:t>ntroduce a mechanism to allow</w:t>
      </w:r>
      <w:r w:rsidR="00994964">
        <w:rPr>
          <w:lang w:val="en-AU"/>
        </w:rPr>
        <w:t>,</w:t>
      </w:r>
      <w:r w:rsidR="00B37782">
        <w:rPr>
          <w:lang w:val="en-AU"/>
        </w:rPr>
        <w:t xml:space="preserve"> in some circumstances</w:t>
      </w:r>
      <w:r w:rsidR="00994964">
        <w:rPr>
          <w:lang w:val="en-AU"/>
        </w:rPr>
        <w:t>,</w:t>
      </w:r>
      <w:r w:rsidR="00B37782">
        <w:rPr>
          <w:lang w:val="en-AU"/>
        </w:rPr>
        <w:t xml:space="preserve"> to</w:t>
      </w:r>
      <w:r w:rsidR="00EB1965">
        <w:rPr>
          <w:lang w:val="en-AU"/>
        </w:rPr>
        <w:t xml:space="preserve"> use</w:t>
      </w:r>
      <w:r w:rsidR="00B37782">
        <w:rPr>
          <w:lang w:val="en-AU"/>
        </w:rPr>
        <w:t xml:space="preserve"> </w:t>
      </w:r>
      <w:r w:rsidR="00994964">
        <w:rPr>
          <w:lang w:val="en-AU"/>
        </w:rPr>
        <w:t>the same,</w:t>
      </w:r>
      <w:r w:rsidR="00B37782">
        <w:rPr>
          <w:lang w:val="en-AU"/>
        </w:rPr>
        <w:t xml:space="preserve"> single</w:t>
      </w:r>
      <w:r w:rsidR="00994964">
        <w:rPr>
          <w:lang w:val="en-AU"/>
        </w:rPr>
        <w:t>,</w:t>
      </w:r>
      <w:r w:rsidR="00B37782">
        <w:rPr>
          <w:lang w:val="en-AU"/>
        </w:rPr>
        <w:t xml:space="preserve"> SRS resource set </w:t>
      </w:r>
      <w:r w:rsidR="00994964">
        <w:rPr>
          <w:lang w:val="en-AU"/>
        </w:rPr>
        <w:t>for both UL MIMO codebook operation and DL CSI acquisition operation.</w:t>
      </w:r>
      <w:bookmarkEnd w:id="14"/>
      <w:r w:rsidR="00994964">
        <w:rPr>
          <w:lang w:val="en-AU"/>
        </w:rPr>
        <w:t xml:space="preserve">  </w:t>
      </w:r>
    </w:p>
    <w:p w14:paraId="45D32DE2" w14:textId="51941E21" w:rsidR="00401CB3" w:rsidRDefault="00401CB3" w:rsidP="00401CB3">
      <w:pPr>
        <w:pStyle w:val="Proposal"/>
        <w:numPr>
          <w:ilvl w:val="0"/>
          <w:numId w:val="0"/>
        </w:numPr>
        <w:rPr>
          <w:lang w:val="en-AU"/>
        </w:rPr>
      </w:pPr>
    </w:p>
    <w:p w14:paraId="3A54A876" w14:textId="4613A033" w:rsidR="00401CB3" w:rsidRDefault="00401CB3" w:rsidP="00401CB3">
      <w:pPr>
        <w:pStyle w:val="Heading2"/>
        <w:rPr>
          <w:lang w:val="en-AU"/>
        </w:rPr>
      </w:pPr>
      <w:r>
        <w:rPr>
          <w:lang w:val="en-AU"/>
        </w:rPr>
        <w:t>2.3.3</w:t>
      </w:r>
      <w:r>
        <w:rPr>
          <w:lang w:val="en-AU"/>
        </w:rPr>
        <w:tab/>
        <w:t>Enhancement to SRS coverage and flexibility</w:t>
      </w:r>
    </w:p>
    <w:p w14:paraId="779EC09B" w14:textId="4761FDC3" w:rsidR="00401CB3" w:rsidRPr="00AF5C52" w:rsidRDefault="00757312" w:rsidP="00757312">
      <w:pPr>
        <w:pStyle w:val="BodyText"/>
        <w:rPr>
          <w:lang w:val="en-AU"/>
        </w:rPr>
      </w:pPr>
      <w:r>
        <w:rPr>
          <w:lang w:val="en-AU"/>
        </w:rPr>
        <w:t xml:space="preserve">In general, SRS functionality needs to be enhanced. </w:t>
      </w:r>
      <w:r w:rsidR="00B23BBE">
        <w:rPr>
          <w:lang w:val="en-AU"/>
        </w:rPr>
        <w:t>In LTE, SRS transmissions with many more OFDM symbols than four is supported, and NR can also adopt this feature to enhance coverage. Another possible enhancement is to allow cross-slot</w:t>
      </w:r>
      <w:r w:rsidR="005513CB">
        <w:rPr>
          <w:lang w:val="en-AU"/>
        </w:rPr>
        <w:t xml:space="preserve"> and cross-resource</w:t>
      </w:r>
      <w:r w:rsidR="00B23BBE">
        <w:rPr>
          <w:lang w:val="en-AU"/>
        </w:rPr>
        <w:t xml:space="preserve"> </w:t>
      </w:r>
      <w:r w:rsidR="005513CB">
        <w:rPr>
          <w:lang w:val="en-AU"/>
        </w:rPr>
        <w:t xml:space="preserve">interpolation of SRS transmissions, so that gNB can combine SRS measurements from multiple such SRS resource transmissions. </w:t>
      </w:r>
      <w:r w:rsidR="00AF4F4F">
        <w:rPr>
          <w:lang w:val="en-AU"/>
        </w:rPr>
        <w:t xml:space="preserve">Conditions when gNB may be able to this needs to be established. In addition, when triggering a narrowband </w:t>
      </w:r>
      <w:r w:rsidR="00EC6EF7">
        <w:rPr>
          <w:lang w:val="en-AU"/>
        </w:rPr>
        <w:t xml:space="preserve">aperiodic SRS transmission with frequency hopping, and where the total hopping bandwidth doesn’t cover the whole </w:t>
      </w:r>
      <w:r w:rsidR="00A91D27">
        <w:rPr>
          <w:lang w:val="en-AU"/>
        </w:rPr>
        <w:t xml:space="preserve">user specific bandwidth, there are some resource blocks that never are sounded. </w:t>
      </w:r>
      <w:r w:rsidR="003234F4">
        <w:rPr>
          <w:lang w:val="en-AU"/>
        </w:rPr>
        <w:t>M</w:t>
      </w:r>
      <w:r w:rsidR="008757EA">
        <w:rPr>
          <w:lang w:val="en-AU"/>
        </w:rPr>
        <w:t xml:space="preserve">ethods to overcome this issue and to increase the flexibility of the used frequency resources for an aperiodic SRS transmission can be studied in Release 17, and if beneficial specified. </w:t>
      </w:r>
    </w:p>
    <w:p w14:paraId="4351F005" w14:textId="77777777" w:rsidR="004F17DB" w:rsidRDefault="0024563A" w:rsidP="0024563A">
      <w:pPr>
        <w:pStyle w:val="Heading2"/>
      </w:pPr>
      <w:r>
        <w:t>2.</w:t>
      </w:r>
      <w:r w:rsidR="00BC0BC2">
        <w:t>4</w:t>
      </w:r>
      <w:r>
        <w:tab/>
        <w:t>Fast CSI acquisition</w:t>
      </w:r>
    </w:p>
    <w:p w14:paraId="6EE8A327" w14:textId="7A06F512" w:rsidR="0024563A" w:rsidRDefault="004F17DB" w:rsidP="004F17DB">
      <w:pPr>
        <w:pStyle w:val="Heading3"/>
      </w:pPr>
      <w:r>
        <w:t>2.4.1</w:t>
      </w:r>
      <w:r>
        <w:tab/>
        <w:t>New CSI timeline requirement</w:t>
      </w:r>
      <w:r w:rsidR="0024563A">
        <w:t xml:space="preserve">  </w:t>
      </w:r>
    </w:p>
    <w:p w14:paraId="2DF441F0" w14:textId="11722390" w:rsidR="00993D99" w:rsidRDefault="00CE2BB0" w:rsidP="004F17DB">
      <w:pPr>
        <w:pStyle w:val="BodyText"/>
      </w:pPr>
      <w:r>
        <w:t xml:space="preserve">The Rel-15 CSI timeline requirement defines three </w:t>
      </w:r>
      <w:r w:rsidR="009557A4">
        <w:t xml:space="preserve">CSI Latency Classes: Low Latency, High Latency and Beam reports. Low Latency CSI is defined as wideband CSI with up to 4 antenna ports in a single CSI-RS resource while the remainder is classified as High Latency CSI. At least in FR1 operation, the gNB is almost always interested in attaining CSI corresponding to </w:t>
      </w:r>
      <w:proofErr w:type="gramStart"/>
      <w:r w:rsidR="009557A4">
        <w:t>a large number of</w:t>
      </w:r>
      <w:proofErr w:type="gramEnd"/>
      <w:r w:rsidR="009557A4">
        <w:t xml:space="preserve"> antenna ports and/or subband CQI/PMI, which would be classified as High Latency CSI.</w:t>
      </w:r>
    </w:p>
    <w:p w14:paraId="341FFC24" w14:textId="2B9CEEB7" w:rsidR="009557A4" w:rsidRDefault="009557A4" w:rsidP="009557A4">
      <w:pPr>
        <w:pStyle w:val="Observation"/>
      </w:pPr>
      <w:bookmarkStart w:id="15" w:name="_Toc24131333"/>
      <w:proofErr w:type="gramStart"/>
      <w:r>
        <w:t>The majority of</w:t>
      </w:r>
      <w:proofErr w:type="gramEnd"/>
      <w:r>
        <w:t xml:space="preserve"> all triggered CSI will be of the High Latency CSI class</w:t>
      </w:r>
      <w:bookmarkEnd w:id="15"/>
    </w:p>
    <w:p w14:paraId="3E7EBC9F" w14:textId="5C707F77" w:rsidR="009557A4" w:rsidRDefault="009557A4" w:rsidP="004F17DB">
      <w:pPr>
        <w:pStyle w:val="BodyText"/>
      </w:pPr>
      <w:r>
        <w:t xml:space="preserve">The High Latency CSI class require at lest </w:t>
      </w:r>
      <m:oMath>
        <m:sSub>
          <m:sSubPr>
            <m:ctrlPr>
              <w:rPr>
                <w:rFonts w:ascii="Cambria Math" w:hAnsi="Cambria Math"/>
                <w:i/>
              </w:rPr>
            </m:ctrlPr>
          </m:sSubPr>
          <m:e>
            <m:r>
              <w:rPr>
                <w:rFonts w:ascii="Cambria Math" w:hAnsi="Cambria Math"/>
              </w:rPr>
              <m:t>Z</m:t>
            </m:r>
          </m:e>
          <m:sub>
            <m:r>
              <w:rPr>
                <w:rFonts w:ascii="Cambria Math" w:hAnsi="Cambria Math"/>
              </w:rPr>
              <m:t>2</m:t>
            </m:r>
          </m:sub>
        </m:sSub>
      </m:oMath>
      <w:r>
        <w:t xml:space="preserve"> symbols between the last symbol of the triggering PUCCH and the PUSCH whereon the CSI is carried, according to Table 1, for the UE to commit to calculating the CSI. This value can be quite large. For 30kHz SCS, a slot offset of 6 slots between PDCCH and PUSCH is required. By contrast, the</w:t>
      </w:r>
      <w:r w:rsidR="00C22E32">
        <w:t xml:space="preserve"> regular PUSCH timeline requirement for when only UL-SCH is carried by the PUSCH is given by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C22E32">
        <w:t>, also summarized in Table 1. For 30kHz SCS, this only corresponds to a slot offset of 1 slot.</w:t>
      </w:r>
    </w:p>
    <w:p w14:paraId="0232087A" w14:textId="3BEC057B" w:rsidR="00CE2BB0" w:rsidRDefault="00CE2BB0" w:rsidP="00AF5C52">
      <w:pPr>
        <w:pStyle w:val="Caption"/>
        <w:keepNext/>
        <w:jc w:val="center"/>
      </w:pPr>
      <w:r>
        <w:lastRenderedPageBreak/>
        <w:t xml:space="preserve">Table </w:t>
      </w:r>
      <w:r w:rsidR="002A74AF">
        <w:fldChar w:fldCharType="begin"/>
      </w:r>
      <w:r w:rsidR="002A74AF">
        <w:instrText xml:space="preserve"> SEQ Table \* ARABIC </w:instrText>
      </w:r>
      <w:r w:rsidR="002A74AF">
        <w:fldChar w:fldCharType="separate"/>
      </w:r>
      <w:r w:rsidR="00247153">
        <w:rPr>
          <w:noProof/>
        </w:rPr>
        <w:t>1</w:t>
      </w:r>
      <w:r w:rsidR="002A74AF">
        <w:rPr>
          <w:noProof/>
        </w:rPr>
        <w:fldChar w:fldCharType="end"/>
      </w:r>
      <w:r>
        <w:t>: Comparison of CSI timeline requirement and PUSCH timeline requirement</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410"/>
        <w:gridCol w:w="1417"/>
        <w:gridCol w:w="1559"/>
      </w:tblGrid>
      <w:tr w:rsidR="00CE2BB0" w:rsidRPr="00E17FE7" w14:paraId="0EA0E24C" w14:textId="77777777" w:rsidTr="00AF5C52">
        <w:trPr>
          <w:jc w:val="center"/>
        </w:trPr>
        <w:tc>
          <w:tcPr>
            <w:tcW w:w="595" w:type="dxa"/>
            <w:vMerge w:val="restart"/>
            <w:tcBorders>
              <w:top w:val="single" w:sz="4" w:space="0" w:color="auto"/>
              <w:left w:val="single" w:sz="4" w:space="0" w:color="auto"/>
              <w:right w:val="single" w:sz="4" w:space="0" w:color="auto"/>
            </w:tcBorders>
            <w:vAlign w:val="center"/>
            <w:hideMark/>
          </w:tcPr>
          <w:p w14:paraId="281E6B21" w14:textId="77777777" w:rsidR="00CE2BB0" w:rsidRPr="00E17FE7" w:rsidRDefault="00CE2BB0" w:rsidP="00CE2BB0">
            <w:pPr>
              <w:pStyle w:val="TAC"/>
              <w:rPr>
                <w:rFonts w:eastAsia="Batang"/>
                <w:color w:val="000000"/>
                <w:lang w:val="en-GB"/>
              </w:rPr>
            </w:pPr>
            <w:r w:rsidRPr="00E17FE7">
              <w:rPr>
                <w:rFonts w:eastAsia="Batang"/>
                <w:color w:val="000000"/>
                <w:position w:val="-10"/>
                <w:lang w:val="en-GB"/>
              </w:rPr>
              <w:object w:dxaOrig="220" w:dyaOrig="240" w14:anchorId="10AF5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4.1pt" o:ole="">
                  <v:imagedata r:id="rId13" o:title=""/>
                </v:shape>
                <o:OLEObject Type="Embed" ProgID="Equation.DSMT4" ShapeID="_x0000_i1025" DrawAspect="Content" ObjectID="_1634744112" r:id="rId14"/>
              </w:object>
            </w:r>
          </w:p>
        </w:tc>
        <w:tc>
          <w:tcPr>
            <w:tcW w:w="2661" w:type="dxa"/>
            <w:gridSpan w:val="2"/>
            <w:tcBorders>
              <w:top w:val="single" w:sz="4" w:space="0" w:color="auto"/>
              <w:left w:val="single" w:sz="4" w:space="0" w:color="auto"/>
              <w:right w:val="single" w:sz="4" w:space="0" w:color="auto"/>
            </w:tcBorders>
          </w:tcPr>
          <w:p w14:paraId="47EB0FAB" w14:textId="27290294" w:rsidR="00CE2BB0" w:rsidRPr="00AF5C52" w:rsidRDefault="00CE2BB0" w:rsidP="00CE2BB0">
            <w:pPr>
              <w:pStyle w:val="TAH"/>
              <w:rPr>
                <w:rFonts w:eastAsia="Batang"/>
                <w:color w:val="000000"/>
                <w:lang w:val="en-GB"/>
              </w:rPr>
            </w:pPr>
            <w:r>
              <w:rPr>
                <w:rFonts w:eastAsia="Batang"/>
                <w:color w:val="000000"/>
                <w:lang w:val="en-GB"/>
              </w:rPr>
              <w:t xml:space="preserve">CSI timeline requirement </w:t>
            </w:r>
            <m:oMath>
              <m:sSub>
                <m:sSubPr>
                  <m:ctrlPr>
                    <w:rPr>
                      <w:rFonts w:ascii="Cambria Math" w:eastAsia="Batang" w:hAnsi="Cambria Math"/>
                      <w:i/>
                      <w:color w:val="000000"/>
                      <w:lang w:val="en-GB"/>
                    </w:rPr>
                  </m:ctrlPr>
                </m:sSubPr>
                <m:e>
                  <m:r>
                    <m:rPr>
                      <m:sty m:val="bi"/>
                    </m:rPr>
                    <w:rPr>
                      <w:rFonts w:ascii="Cambria Math" w:eastAsia="Batang" w:hAnsi="Cambria Math"/>
                      <w:color w:val="000000"/>
                      <w:lang w:val="en-GB"/>
                    </w:rPr>
                    <m:t>Z</m:t>
                  </m:r>
                </m:e>
                <m:sub>
                  <m:r>
                    <m:rPr>
                      <m:sty m:val="bi"/>
                    </m:rPr>
                    <w:rPr>
                      <w:rFonts w:ascii="Cambria Math" w:eastAsia="Batang" w:hAnsi="Cambria Math"/>
                      <w:color w:val="000000"/>
                      <w:lang w:val="en-GB"/>
                    </w:rPr>
                    <m:t>2</m:t>
                  </m:r>
                </m:sub>
              </m:sSub>
            </m:oMath>
          </w:p>
        </w:tc>
        <w:tc>
          <w:tcPr>
            <w:tcW w:w="2976" w:type="dxa"/>
            <w:gridSpan w:val="2"/>
            <w:tcBorders>
              <w:top w:val="single" w:sz="4" w:space="0" w:color="auto"/>
              <w:left w:val="single" w:sz="4" w:space="0" w:color="auto"/>
              <w:right w:val="single" w:sz="4" w:space="0" w:color="auto"/>
            </w:tcBorders>
          </w:tcPr>
          <w:p w14:paraId="1FC4EFA9" w14:textId="0C596271" w:rsidR="00CE2BB0" w:rsidRPr="00AF5C52" w:rsidRDefault="00CE2BB0" w:rsidP="00CE2BB0">
            <w:pPr>
              <w:pStyle w:val="TAH"/>
              <w:rPr>
                <w:rFonts w:eastAsia="Batang"/>
                <w:color w:val="000000"/>
                <w:lang w:val="en-GB"/>
              </w:rPr>
            </w:pPr>
            <w:r w:rsidRPr="00AF5C52">
              <w:rPr>
                <w:rFonts w:eastAsia="Batang"/>
                <w:color w:val="000000"/>
                <w:lang w:val="en-GB"/>
              </w:rPr>
              <w:t>PUSCH</w:t>
            </w:r>
            <w:r>
              <w:rPr>
                <w:rFonts w:eastAsia="Batang"/>
                <w:color w:val="000000"/>
                <w:lang w:val="en-GB"/>
              </w:rPr>
              <w:t xml:space="preserve"> timeline requirement </w:t>
            </w:r>
          </w:p>
        </w:tc>
      </w:tr>
      <w:tr w:rsidR="00CE2BB0" w:rsidRPr="00E17FE7" w14:paraId="18752BC1" w14:textId="77777777" w:rsidTr="00AF5C52">
        <w:trPr>
          <w:jc w:val="center"/>
        </w:trPr>
        <w:tc>
          <w:tcPr>
            <w:tcW w:w="595" w:type="dxa"/>
            <w:vMerge/>
            <w:tcBorders>
              <w:left w:val="single" w:sz="4" w:space="0" w:color="auto"/>
              <w:bottom w:val="single" w:sz="4" w:space="0" w:color="auto"/>
              <w:right w:val="single" w:sz="4" w:space="0" w:color="auto"/>
            </w:tcBorders>
          </w:tcPr>
          <w:p w14:paraId="4D16356E" w14:textId="77777777" w:rsidR="00CE2BB0" w:rsidRPr="00E17FE7" w:rsidRDefault="00CE2BB0" w:rsidP="00CE2BB0">
            <w:pPr>
              <w:pStyle w:val="TAC"/>
              <w:rPr>
                <w:rFonts w:eastAsia="Batang"/>
                <w:color w:val="000000"/>
                <w:lang w:val="en-GB"/>
              </w:rPr>
            </w:pPr>
          </w:p>
        </w:tc>
        <w:tc>
          <w:tcPr>
            <w:tcW w:w="1251" w:type="dxa"/>
            <w:tcBorders>
              <w:left w:val="single" w:sz="4" w:space="0" w:color="auto"/>
              <w:bottom w:val="single" w:sz="4" w:space="0" w:color="auto"/>
              <w:right w:val="single" w:sz="4" w:space="0" w:color="auto"/>
            </w:tcBorders>
          </w:tcPr>
          <w:p w14:paraId="63CF06D1" w14:textId="572932CF" w:rsidR="00CE2BB0" w:rsidRPr="00CE2BB0" w:rsidRDefault="00CE2BB0" w:rsidP="00CE2BB0">
            <w:pPr>
              <w:pStyle w:val="TAC"/>
              <w:rPr>
                <w:rFonts w:eastAsia="Batang"/>
                <w:color w:val="000000"/>
                <w:lang w:val="en-GB"/>
              </w:rPr>
            </w:pPr>
            <w:r w:rsidRPr="00AF5C52">
              <w:rPr>
                <w:color w:val="000000"/>
                <w:lang w:val="en-GB"/>
              </w:rPr>
              <w:t>Z</w:t>
            </w:r>
            <w:r w:rsidRPr="00AF5C52">
              <w:rPr>
                <w:color w:val="000000"/>
                <w:vertAlign w:val="subscript"/>
                <w:lang w:val="en-GB"/>
              </w:rPr>
              <w:t xml:space="preserve">2 </w:t>
            </w:r>
            <w:r w:rsidRPr="00AF5C52">
              <w:rPr>
                <w:color w:val="000000"/>
                <w:lang w:val="en-GB"/>
              </w:rPr>
              <w:t>(symbols)</w:t>
            </w:r>
          </w:p>
        </w:tc>
        <w:tc>
          <w:tcPr>
            <w:tcW w:w="1410" w:type="dxa"/>
            <w:tcBorders>
              <w:left w:val="single" w:sz="4" w:space="0" w:color="auto"/>
              <w:bottom w:val="single" w:sz="4" w:space="0" w:color="auto"/>
              <w:right w:val="single" w:sz="4" w:space="0" w:color="auto"/>
            </w:tcBorders>
          </w:tcPr>
          <w:p w14:paraId="18456562" w14:textId="1D9A9C67" w:rsidR="00CE2BB0" w:rsidRPr="00AF5C52" w:rsidRDefault="002A74AF" w:rsidP="00CE2BB0">
            <w:pPr>
              <w:pStyle w:val="TAC"/>
              <w:rPr>
                <w:rFonts w:eastAsia="Batang"/>
                <w:color w:val="000000"/>
                <w:lang w:val="en-US"/>
              </w:rPr>
            </w:pPr>
            <m:oMath>
              <m:d>
                <m:dPr>
                  <m:begChr m:val="⌈"/>
                  <m:endChr m:val="⌉"/>
                  <m:ctrlPr>
                    <w:rPr>
                      <w:rFonts w:ascii="Cambria Math" w:eastAsia="Batang" w:hAnsi="Cambria Math"/>
                      <w:i/>
                      <w:color w:val="000000"/>
                      <w:lang w:val="en-US"/>
                    </w:rPr>
                  </m:ctrlPr>
                </m:dPr>
                <m:e>
                  <m:sSub>
                    <m:sSubPr>
                      <m:ctrlPr>
                        <w:rPr>
                          <w:rFonts w:ascii="Cambria Math" w:eastAsia="Batang" w:hAnsi="Cambria Math"/>
                          <w:i/>
                          <w:color w:val="000000"/>
                          <w:lang w:val="en-US"/>
                        </w:rPr>
                      </m:ctrlPr>
                    </m:sSubPr>
                    <m:e>
                      <m:r>
                        <w:rPr>
                          <w:rFonts w:ascii="Cambria Math" w:eastAsia="Batang" w:hAnsi="Cambria Math"/>
                          <w:color w:val="000000"/>
                          <w:lang w:val="en-US"/>
                        </w:rPr>
                        <m:t>Z</m:t>
                      </m:r>
                    </m:e>
                    <m:sub>
                      <m:r>
                        <w:rPr>
                          <w:rFonts w:ascii="Cambria Math" w:eastAsia="Batang" w:hAnsi="Cambria Math"/>
                          <w:color w:val="000000"/>
                          <w:lang w:val="en-US"/>
                        </w:rPr>
                        <m:t>2</m:t>
                      </m:r>
                    </m:sub>
                  </m:sSub>
                  <m:r>
                    <w:rPr>
                      <w:rFonts w:ascii="Cambria Math" w:eastAsia="Batang" w:hAnsi="Cambria Math"/>
                      <w:color w:val="000000"/>
                      <w:lang w:val="en-US"/>
                    </w:rPr>
                    <m:t>/14</m:t>
                  </m:r>
                </m:e>
              </m:d>
              <m:r>
                <w:rPr>
                  <w:rFonts w:ascii="Cambria Math" w:eastAsia="Batang" w:hAnsi="Cambria Math"/>
                  <w:color w:val="000000"/>
                  <w:lang w:val="en-US"/>
                </w:rPr>
                <m:t xml:space="preserve"> </m:t>
              </m:r>
            </m:oMath>
            <w:r w:rsidR="00CE2BB0">
              <w:rPr>
                <w:rFonts w:eastAsia="Batang"/>
                <w:color w:val="000000"/>
                <w:lang w:val="en-US"/>
              </w:rPr>
              <w:t>(slots)</w:t>
            </w:r>
          </w:p>
        </w:tc>
        <w:tc>
          <w:tcPr>
            <w:tcW w:w="1417" w:type="dxa"/>
            <w:tcBorders>
              <w:top w:val="single" w:sz="4" w:space="0" w:color="auto"/>
              <w:left w:val="single" w:sz="4" w:space="0" w:color="auto"/>
              <w:right w:val="single" w:sz="4" w:space="0" w:color="auto"/>
            </w:tcBorders>
          </w:tcPr>
          <w:p w14:paraId="54061CBA" w14:textId="741EEC03" w:rsidR="00CE2BB0" w:rsidRPr="00CE2BB0" w:rsidRDefault="00CE2BB0" w:rsidP="00CE2BB0">
            <w:pPr>
              <w:pStyle w:val="TAC"/>
              <w:rPr>
                <w:rFonts w:eastAsia="Batang"/>
                <w:color w:val="000000"/>
                <w:lang w:val="en-GB"/>
              </w:rPr>
            </w:pPr>
            <w:r>
              <w:rPr>
                <w:rFonts w:eastAsia="Batang"/>
                <w:color w:val="000000"/>
                <w:lang w:val="en-GB"/>
              </w:rPr>
              <w:t>N</w:t>
            </w:r>
            <w:r>
              <w:rPr>
                <w:rFonts w:eastAsia="Batang"/>
                <w:color w:val="000000"/>
                <w:vertAlign w:val="subscript"/>
                <w:lang w:val="en-GB"/>
              </w:rPr>
              <w:t xml:space="preserve">2 </w:t>
            </w:r>
            <w:r>
              <w:rPr>
                <w:rFonts w:eastAsia="Batang"/>
                <w:color w:val="000000"/>
                <w:lang w:val="en-GB"/>
              </w:rPr>
              <w:t>(symbols)</w:t>
            </w:r>
          </w:p>
        </w:tc>
        <w:tc>
          <w:tcPr>
            <w:tcW w:w="1559" w:type="dxa"/>
            <w:tcBorders>
              <w:top w:val="single" w:sz="4" w:space="0" w:color="auto"/>
              <w:left w:val="single" w:sz="4" w:space="0" w:color="auto"/>
              <w:right w:val="single" w:sz="4" w:space="0" w:color="auto"/>
            </w:tcBorders>
          </w:tcPr>
          <w:p w14:paraId="680CA329" w14:textId="7FF66E3C" w:rsidR="00CE2BB0" w:rsidRPr="00E17FE7" w:rsidRDefault="002A74AF" w:rsidP="00CE2BB0">
            <w:pPr>
              <w:pStyle w:val="TAC"/>
              <w:rPr>
                <w:rFonts w:eastAsia="Batang"/>
                <w:color w:val="000000"/>
                <w:lang w:val="en-GB"/>
              </w:rPr>
            </w:pPr>
            <m:oMath>
              <m:d>
                <m:dPr>
                  <m:begChr m:val="⌈"/>
                  <m:endChr m:val="⌉"/>
                  <m:ctrlPr>
                    <w:rPr>
                      <w:rFonts w:ascii="Cambria Math" w:eastAsia="Batang" w:hAnsi="Cambria Math"/>
                      <w:i/>
                      <w:color w:val="000000"/>
                      <w:lang w:val="en-US"/>
                    </w:rPr>
                  </m:ctrlPr>
                </m:dPr>
                <m:e>
                  <m:sSub>
                    <m:sSubPr>
                      <m:ctrlPr>
                        <w:rPr>
                          <w:rFonts w:ascii="Cambria Math" w:eastAsia="Batang" w:hAnsi="Cambria Math"/>
                          <w:i/>
                          <w:color w:val="000000"/>
                          <w:lang w:val="en-US"/>
                        </w:rPr>
                      </m:ctrlPr>
                    </m:sSubPr>
                    <m:e>
                      <m:r>
                        <w:rPr>
                          <w:rFonts w:ascii="Cambria Math" w:eastAsia="Batang" w:hAnsi="Cambria Math"/>
                          <w:color w:val="000000"/>
                          <w:lang w:val="en-US"/>
                        </w:rPr>
                        <m:t>N</m:t>
                      </m:r>
                    </m:e>
                    <m:sub>
                      <m:r>
                        <w:rPr>
                          <w:rFonts w:ascii="Cambria Math" w:eastAsia="Batang" w:hAnsi="Cambria Math"/>
                          <w:color w:val="000000"/>
                          <w:lang w:val="en-US"/>
                        </w:rPr>
                        <m:t>2</m:t>
                      </m:r>
                    </m:sub>
                  </m:sSub>
                  <m:r>
                    <w:rPr>
                      <w:rFonts w:ascii="Cambria Math" w:eastAsia="Batang" w:hAnsi="Cambria Math"/>
                      <w:color w:val="000000"/>
                      <w:lang w:val="en-US"/>
                    </w:rPr>
                    <m:t>/14</m:t>
                  </m:r>
                </m:e>
              </m:d>
              <m:r>
                <w:rPr>
                  <w:rFonts w:ascii="Cambria Math" w:eastAsia="Batang" w:hAnsi="Cambria Math"/>
                  <w:color w:val="000000"/>
                  <w:lang w:val="en-US"/>
                </w:rPr>
                <m:t xml:space="preserve"> </m:t>
              </m:r>
            </m:oMath>
            <w:r w:rsidR="00CE2BB0">
              <w:rPr>
                <w:rFonts w:eastAsia="Batang"/>
                <w:color w:val="000000"/>
                <w:lang w:val="en-US"/>
              </w:rPr>
              <w:t>(slots)</w:t>
            </w:r>
          </w:p>
        </w:tc>
      </w:tr>
      <w:tr w:rsidR="00CE2BB0" w14:paraId="78BD5515" w14:textId="77777777" w:rsidTr="00AF5C52">
        <w:trPr>
          <w:jc w:val="center"/>
        </w:trPr>
        <w:tc>
          <w:tcPr>
            <w:tcW w:w="595" w:type="dxa"/>
            <w:tcBorders>
              <w:top w:val="single" w:sz="4" w:space="0" w:color="auto"/>
              <w:left w:val="single" w:sz="4" w:space="0" w:color="auto"/>
              <w:bottom w:val="single" w:sz="4" w:space="0" w:color="auto"/>
              <w:right w:val="single" w:sz="4" w:space="0" w:color="auto"/>
            </w:tcBorders>
          </w:tcPr>
          <w:p w14:paraId="621C4388" w14:textId="77777777" w:rsidR="00CE2BB0" w:rsidRPr="00E17FE7" w:rsidRDefault="00CE2BB0" w:rsidP="00CE2BB0">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55F2D9E8" w14:textId="77A1D769" w:rsidR="00CE2BB0" w:rsidRPr="00E17FE7" w:rsidRDefault="00CE2BB0" w:rsidP="00CE2BB0">
            <w:pPr>
              <w:pStyle w:val="TAC"/>
              <w:rPr>
                <w:rFonts w:eastAsia="Batang"/>
                <w:color w:val="000000"/>
                <w:lang w:val="en-GB"/>
              </w:rPr>
            </w:pPr>
            <w:r>
              <w:rPr>
                <w:rFonts w:eastAsia="Batang"/>
                <w:color w:val="000000"/>
                <w:lang w:val="en-GB"/>
              </w:rPr>
              <w:t>40</w:t>
            </w:r>
          </w:p>
        </w:tc>
        <w:tc>
          <w:tcPr>
            <w:tcW w:w="1410" w:type="dxa"/>
            <w:tcBorders>
              <w:top w:val="single" w:sz="4" w:space="0" w:color="auto"/>
              <w:left w:val="single" w:sz="4" w:space="0" w:color="auto"/>
              <w:bottom w:val="single" w:sz="4" w:space="0" w:color="auto"/>
              <w:right w:val="single" w:sz="4" w:space="0" w:color="auto"/>
            </w:tcBorders>
          </w:tcPr>
          <w:p w14:paraId="609E81F4" w14:textId="006B533A" w:rsidR="00CE2BB0" w:rsidRPr="00E17FE7" w:rsidRDefault="00CE2BB0" w:rsidP="00CE2BB0">
            <w:pPr>
              <w:pStyle w:val="TAC"/>
              <w:rPr>
                <w:rFonts w:eastAsia="Batang"/>
                <w:color w:val="000000"/>
                <w:lang w:val="en-GB"/>
              </w:rPr>
            </w:pPr>
            <w:r>
              <w:rPr>
                <w:rFonts w:eastAsia="Batang"/>
                <w:color w:val="000000"/>
                <w:lang w:val="en-GB"/>
              </w:rPr>
              <w:t>3</w:t>
            </w:r>
          </w:p>
        </w:tc>
        <w:tc>
          <w:tcPr>
            <w:tcW w:w="1417" w:type="dxa"/>
            <w:tcBorders>
              <w:left w:val="single" w:sz="4" w:space="0" w:color="auto"/>
              <w:right w:val="single" w:sz="4" w:space="0" w:color="auto"/>
            </w:tcBorders>
          </w:tcPr>
          <w:p w14:paraId="156005AC" w14:textId="3091CF90" w:rsidR="00CE2BB0" w:rsidRPr="00E17FE7" w:rsidRDefault="00CE2BB0" w:rsidP="00CE2BB0">
            <w:pPr>
              <w:pStyle w:val="TAC"/>
              <w:rPr>
                <w:rFonts w:eastAsia="Batang"/>
                <w:color w:val="000000"/>
                <w:lang w:val="en-GB"/>
              </w:rPr>
            </w:pPr>
            <w:r w:rsidRPr="00E17FE7">
              <w:rPr>
                <w:rFonts w:eastAsia="Batang"/>
                <w:color w:val="000000"/>
                <w:lang w:val="en-GB"/>
              </w:rPr>
              <w:t>10</w:t>
            </w:r>
          </w:p>
        </w:tc>
        <w:tc>
          <w:tcPr>
            <w:tcW w:w="1559" w:type="dxa"/>
            <w:tcBorders>
              <w:left w:val="single" w:sz="4" w:space="0" w:color="auto"/>
              <w:right w:val="single" w:sz="4" w:space="0" w:color="auto"/>
            </w:tcBorders>
          </w:tcPr>
          <w:p w14:paraId="7157AFFD" w14:textId="2BEFE3E4" w:rsidR="00CE2BB0" w:rsidRPr="00E17FE7" w:rsidRDefault="00CE2BB0" w:rsidP="00CE2BB0">
            <w:pPr>
              <w:pStyle w:val="TAC"/>
              <w:rPr>
                <w:rFonts w:eastAsia="Batang"/>
                <w:color w:val="000000"/>
                <w:lang w:val="en-GB"/>
              </w:rPr>
            </w:pPr>
            <w:r>
              <w:rPr>
                <w:rFonts w:eastAsia="Batang"/>
                <w:color w:val="000000"/>
                <w:lang w:val="en-GB"/>
              </w:rPr>
              <w:t>1</w:t>
            </w:r>
          </w:p>
        </w:tc>
      </w:tr>
      <w:tr w:rsidR="00CE2BB0" w14:paraId="67C21F1B" w14:textId="77777777" w:rsidTr="00AF5C52">
        <w:trPr>
          <w:jc w:val="center"/>
        </w:trPr>
        <w:tc>
          <w:tcPr>
            <w:tcW w:w="595" w:type="dxa"/>
            <w:tcBorders>
              <w:top w:val="single" w:sz="4" w:space="0" w:color="auto"/>
              <w:left w:val="single" w:sz="4" w:space="0" w:color="auto"/>
              <w:bottom w:val="single" w:sz="4" w:space="0" w:color="auto"/>
              <w:right w:val="single" w:sz="4" w:space="0" w:color="auto"/>
            </w:tcBorders>
            <w:hideMark/>
          </w:tcPr>
          <w:p w14:paraId="12760AF5" w14:textId="77777777" w:rsidR="00CE2BB0" w:rsidRPr="00E17FE7" w:rsidRDefault="00CE2BB0" w:rsidP="00CE2BB0">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3DC85738" w14:textId="0ADD877B" w:rsidR="00CE2BB0" w:rsidRPr="00E17FE7" w:rsidRDefault="00CE2BB0" w:rsidP="00CE2BB0">
            <w:pPr>
              <w:pStyle w:val="TAC"/>
              <w:rPr>
                <w:rFonts w:eastAsia="Batang"/>
                <w:color w:val="000000"/>
                <w:lang w:val="en-GB"/>
              </w:rPr>
            </w:pPr>
            <w:r>
              <w:rPr>
                <w:rFonts w:eastAsia="Batang"/>
                <w:color w:val="000000"/>
                <w:lang w:val="en-GB"/>
              </w:rPr>
              <w:t>72</w:t>
            </w:r>
          </w:p>
        </w:tc>
        <w:tc>
          <w:tcPr>
            <w:tcW w:w="1410" w:type="dxa"/>
            <w:tcBorders>
              <w:top w:val="single" w:sz="4" w:space="0" w:color="auto"/>
              <w:left w:val="single" w:sz="4" w:space="0" w:color="auto"/>
              <w:bottom w:val="single" w:sz="4" w:space="0" w:color="auto"/>
              <w:right w:val="single" w:sz="4" w:space="0" w:color="auto"/>
            </w:tcBorders>
          </w:tcPr>
          <w:p w14:paraId="49C6CBEC" w14:textId="30649450" w:rsidR="00CE2BB0" w:rsidRPr="00E17FE7" w:rsidRDefault="00CE2BB0" w:rsidP="00CE2BB0">
            <w:pPr>
              <w:pStyle w:val="TAC"/>
              <w:rPr>
                <w:rFonts w:eastAsia="Batang"/>
                <w:color w:val="000000"/>
                <w:lang w:val="en-GB"/>
              </w:rPr>
            </w:pPr>
            <w:r>
              <w:rPr>
                <w:rFonts w:eastAsia="Batang"/>
                <w:color w:val="000000"/>
                <w:lang w:val="en-GB"/>
              </w:rPr>
              <w:t>6</w:t>
            </w:r>
          </w:p>
        </w:tc>
        <w:tc>
          <w:tcPr>
            <w:tcW w:w="1417" w:type="dxa"/>
            <w:tcBorders>
              <w:left w:val="single" w:sz="4" w:space="0" w:color="auto"/>
              <w:right w:val="single" w:sz="4" w:space="0" w:color="auto"/>
            </w:tcBorders>
          </w:tcPr>
          <w:p w14:paraId="43DA01DD" w14:textId="64D4A605" w:rsidR="00CE2BB0" w:rsidRPr="00E17FE7" w:rsidRDefault="00CE2BB0" w:rsidP="00CE2BB0">
            <w:pPr>
              <w:pStyle w:val="TAC"/>
              <w:rPr>
                <w:rFonts w:eastAsia="Batang"/>
                <w:color w:val="000000"/>
                <w:lang w:val="en-GB"/>
              </w:rPr>
            </w:pPr>
            <w:r w:rsidRPr="00E17FE7">
              <w:rPr>
                <w:rFonts w:eastAsia="Batang"/>
                <w:color w:val="000000"/>
                <w:lang w:val="en-GB"/>
              </w:rPr>
              <w:t>12</w:t>
            </w:r>
          </w:p>
        </w:tc>
        <w:tc>
          <w:tcPr>
            <w:tcW w:w="1559" w:type="dxa"/>
            <w:tcBorders>
              <w:left w:val="single" w:sz="4" w:space="0" w:color="auto"/>
              <w:right w:val="single" w:sz="4" w:space="0" w:color="auto"/>
            </w:tcBorders>
          </w:tcPr>
          <w:p w14:paraId="558F0416" w14:textId="2D06717A" w:rsidR="00CE2BB0" w:rsidRPr="00E17FE7" w:rsidRDefault="00CE2BB0" w:rsidP="00CE2BB0">
            <w:pPr>
              <w:pStyle w:val="TAC"/>
              <w:rPr>
                <w:rFonts w:eastAsia="Batang"/>
                <w:color w:val="000000"/>
                <w:lang w:val="en-GB"/>
              </w:rPr>
            </w:pPr>
            <w:r>
              <w:rPr>
                <w:rFonts w:eastAsia="Batang"/>
                <w:color w:val="000000"/>
                <w:lang w:val="en-GB"/>
              </w:rPr>
              <w:t>1</w:t>
            </w:r>
          </w:p>
        </w:tc>
      </w:tr>
      <w:tr w:rsidR="00CE2BB0" w14:paraId="15C2BEF8" w14:textId="77777777" w:rsidTr="00AF5C52">
        <w:trPr>
          <w:trHeight w:val="47"/>
          <w:jc w:val="center"/>
        </w:trPr>
        <w:tc>
          <w:tcPr>
            <w:tcW w:w="595" w:type="dxa"/>
            <w:tcBorders>
              <w:top w:val="single" w:sz="4" w:space="0" w:color="auto"/>
              <w:left w:val="single" w:sz="4" w:space="0" w:color="auto"/>
              <w:bottom w:val="single" w:sz="4" w:space="0" w:color="auto"/>
              <w:right w:val="single" w:sz="4" w:space="0" w:color="auto"/>
            </w:tcBorders>
            <w:hideMark/>
          </w:tcPr>
          <w:p w14:paraId="1D3040DA" w14:textId="77777777" w:rsidR="00CE2BB0" w:rsidRPr="00E17FE7" w:rsidRDefault="00CE2BB0" w:rsidP="00CE2BB0">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6D389EC1" w14:textId="6102BB55" w:rsidR="00CE2BB0" w:rsidRPr="00E17FE7" w:rsidRDefault="00CE2BB0" w:rsidP="00CE2BB0">
            <w:pPr>
              <w:pStyle w:val="TAC"/>
              <w:rPr>
                <w:rFonts w:eastAsia="Batang"/>
                <w:color w:val="000000"/>
                <w:lang w:val="en-GB"/>
              </w:rPr>
            </w:pPr>
            <w:r>
              <w:rPr>
                <w:rFonts w:eastAsia="Batang"/>
                <w:color w:val="000000"/>
                <w:lang w:val="en-GB"/>
              </w:rPr>
              <w:t>141</w:t>
            </w:r>
          </w:p>
        </w:tc>
        <w:tc>
          <w:tcPr>
            <w:tcW w:w="1410" w:type="dxa"/>
            <w:tcBorders>
              <w:top w:val="single" w:sz="4" w:space="0" w:color="auto"/>
              <w:left w:val="single" w:sz="4" w:space="0" w:color="auto"/>
              <w:bottom w:val="single" w:sz="4" w:space="0" w:color="auto"/>
              <w:right w:val="single" w:sz="4" w:space="0" w:color="auto"/>
            </w:tcBorders>
          </w:tcPr>
          <w:p w14:paraId="302F4714" w14:textId="6D273934" w:rsidR="00CE2BB0" w:rsidRPr="00E17FE7" w:rsidRDefault="00CE2BB0" w:rsidP="00CE2BB0">
            <w:pPr>
              <w:pStyle w:val="TAC"/>
              <w:rPr>
                <w:rFonts w:eastAsia="Batang"/>
                <w:color w:val="000000"/>
                <w:lang w:val="en-GB"/>
              </w:rPr>
            </w:pPr>
            <w:r>
              <w:rPr>
                <w:rFonts w:eastAsia="Batang"/>
                <w:color w:val="000000"/>
                <w:lang w:val="en-GB"/>
              </w:rPr>
              <w:t>11</w:t>
            </w:r>
          </w:p>
        </w:tc>
        <w:tc>
          <w:tcPr>
            <w:tcW w:w="1417" w:type="dxa"/>
            <w:tcBorders>
              <w:left w:val="single" w:sz="4" w:space="0" w:color="auto"/>
              <w:right w:val="single" w:sz="4" w:space="0" w:color="auto"/>
            </w:tcBorders>
          </w:tcPr>
          <w:p w14:paraId="3DF34DEE" w14:textId="4CF1FE6F" w:rsidR="00CE2BB0" w:rsidRPr="00E17FE7" w:rsidRDefault="00CE2BB0" w:rsidP="00CE2BB0">
            <w:pPr>
              <w:pStyle w:val="TAC"/>
              <w:rPr>
                <w:rFonts w:eastAsia="Batang"/>
                <w:color w:val="000000"/>
                <w:lang w:val="en-GB"/>
              </w:rPr>
            </w:pPr>
            <w:r w:rsidRPr="00E17FE7">
              <w:rPr>
                <w:rFonts w:eastAsia="Batang"/>
                <w:color w:val="000000"/>
                <w:lang w:val="en-GB"/>
              </w:rPr>
              <w:t>23</w:t>
            </w:r>
          </w:p>
        </w:tc>
        <w:tc>
          <w:tcPr>
            <w:tcW w:w="1559" w:type="dxa"/>
            <w:tcBorders>
              <w:left w:val="single" w:sz="4" w:space="0" w:color="auto"/>
              <w:right w:val="single" w:sz="4" w:space="0" w:color="auto"/>
            </w:tcBorders>
          </w:tcPr>
          <w:p w14:paraId="5F34B034" w14:textId="6B3C3261" w:rsidR="00CE2BB0" w:rsidRPr="00E17FE7" w:rsidRDefault="00CE2BB0" w:rsidP="00CE2BB0">
            <w:pPr>
              <w:pStyle w:val="TAC"/>
              <w:rPr>
                <w:rFonts w:eastAsia="Batang"/>
                <w:color w:val="000000"/>
                <w:lang w:val="en-GB"/>
              </w:rPr>
            </w:pPr>
            <w:r>
              <w:rPr>
                <w:rFonts w:eastAsia="Batang"/>
                <w:color w:val="000000"/>
                <w:lang w:val="en-GB"/>
              </w:rPr>
              <w:t>2</w:t>
            </w:r>
          </w:p>
        </w:tc>
      </w:tr>
      <w:tr w:rsidR="00CE2BB0" w14:paraId="4F97A773" w14:textId="77777777" w:rsidTr="00AF5C52">
        <w:trPr>
          <w:trHeight w:val="54"/>
          <w:jc w:val="center"/>
        </w:trPr>
        <w:tc>
          <w:tcPr>
            <w:tcW w:w="595" w:type="dxa"/>
            <w:tcBorders>
              <w:top w:val="single" w:sz="4" w:space="0" w:color="auto"/>
              <w:left w:val="single" w:sz="4" w:space="0" w:color="auto"/>
              <w:bottom w:val="single" w:sz="4" w:space="0" w:color="auto"/>
              <w:right w:val="single" w:sz="4" w:space="0" w:color="auto"/>
            </w:tcBorders>
            <w:hideMark/>
          </w:tcPr>
          <w:p w14:paraId="6B24F5ED" w14:textId="77777777" w:rsidR="00CE2BB0" w:rsidRPr="00E17FE7" w:rsidRDefault="00CE2BB0" w:rsidP="00CE2BB0">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2CC338C2" w14:textId="785282D1" w:rsidR="00CE2BB0" w:rsidRPr="00E17FE7" w:rsidRDefault="00CE2BB0" w:rsidP="00CE2BB0">
            <w:pPr>
              <w:pStyle w:val="TAC"/>
              <w:rPr>
                <w:rFonts w:eastAsia="Batang"/>
                <w:color w:val="000000"/>
                <w:lang w:val="en-GB"/>
              </w:rPr>
            </w:pPr>
            <w:r>
              <w:rPr>
                <w:rFonts w:eastAsia="Batang"/>
                <w:color w:val="000000"/>
                <w:lang w:val="en-GB"/>
              </w:rPr>
              <w:t>152</w:t>
            </w:r>
          </w:p>
        </w:tc>
        <w:tc>
          <w:tcPr>
            <w:tcW w:w="1410" w:type="dxa"/>
            <w:tcBorders>
              <w:top w:val="single" w:sz="4" w:space="0" w:color="auto"/>
              <w:left w:val="single" w:sz="4" w:space="0" w:color="auto"/>
              <w:bottom w:val="single" w:sz="4" w:space="0" w:color="auto"/>
              <w:right w:val="single" w:sz="4" w:space="0" w:color="auto"/>
            </w:tcBorders>
          </w:tcPr>
          <w:p w14:paraId="58652944" w14:textId="371410E1" w:rsidR="00CE2BB0" w:rsidRPr="00E17FE7" w:rsidRDefault="00CE2BB0" w:rsidP="00CE2BB0">
            <w:pPr>
              <w:pStyle w:val="TAC"/>
              <w:rPr>
                <w:rFonts w:eastAsia="Batang"/>
                <w:color w:val="000000"/>
                <w:lang w:val="en-GB"/>
              </w:rPr>
            </w:pPr>
            <w:r>
              <w:rPr>
                <w:rFonts w:eastAsia="Batang"/>
                <w:color w:val="000000"/>
                <w:lang w:val="en-GB"/>
              </w:rPr>
              <w:t>11</w:t>
            </w:r>
          </w:p>
        </w:tc>
        <w:tc>
          <w:tcPr>
            <w:tcW w:w="1417" w:type="dxa"/>
            <w:tcBorders>
              <w:left w:val="single" w:sz="4" w:space="0" w:color="auto"/>
              <w:bottom w:val="single" w:sz="4" w:space="0" w:color="auto"/>
              <w:right w:val="single" w:sz="4" w:space="0" w:color="auto"/>
            </w:tcBorders>
          </w:tcPr>
          <w:p w14:paraId="754F19EE" w14:textId="7ABAC263" w:rsidR="00CE2BB0" w:rsidRPr="00E17FE7" w:rsidRDefault="00CE2BB0" w:rsidP="00CE2BB0">
            <w:pPr>
              <w:pStyle w:val="TAC"/>
              <w:rPr>
                <w:rFonts w:eastAsia="Batang"/>
                <w:color w:val="000000"/>
                <w:lang w:val="en-GB"/>
              </w:rPr>
            </w:pPr>
            <w:r w:rsidRPr="00E17FE7">
              <w:rPr>
                <w:rFonts w:eastAsia="Batang"/>
                <w:color w:val="000000"/>
                <w:lang w:val="en-GB"/>
              </w:rPr>
              <w:t>36</w:t>
            </w:r>
          </w:p>
        </w:tc>
        <w:tc>
          <w:tcPr>
            <w:tcW w:w="1559" w:type="dxa"/>
            <w:tcBorders>
              <w:left w:val="single" w:sz="4" w:space="0" w:color="auto"/>
              <w:bottom w:val="single" w:sz="4" w:space="0" w:color="auto"/>
              <w:right w:val="single" w:sz="4" w:space="0" w:color="auto"/>
            </w:tcBorders>
          </w:tcPr>
          <w:p w14:paraId="03FB6A08" w14:textId="7F65A400" w:rsidR="00CE2BB0" w:rsidRPr="00E17FE7" w:rsidRDefault="00CE2BB0" w:rsidP="00CE2BB0">
            <w:pPr>
              <w:pStyle w:val="TAC"/>
              <w:rPr>
                <w:rFonts w:eastAsia="Batang"/>
                <w:color w:val="000000"/>
                <w:lang w:val="en-GB"/>
              </w:rPr>
            </w:pPr>
            <w:r>
              <w:rPr>
                <w:rFonts w:eastAsia="Batang"/>
                <w:color w:val="000000"/>
                <w:lang w:val="en-GB"/>
              </w:rPr>
              <w:t>3</w:t>
            </w:r>
          </w:p>
        </w:tc>
      </w:tr>
    </w:tbl>
    <w:p w14:paraId="74AFA08E" w14:textId="77777777" w:rsidR="00CE2BB0" w:rsidRPr="00993D99" w:rsidRDefault="00CE2BB0" w:rsidP="00AF5C52"/>
    <w:p w14:paraId="6A987C6B" w14:textId="6561D18B" w:rsidR="00C22E32" w:rsidRDefault="007B08F1" w:rsidP="004F17DB">
      <w:pPr>
        <w:pStyle w:val="BodyText"/>
        <w:rPr>
          <w:lang w:val="en-US"/>
        </w:rPr>
      </w:pPr>
      <w:r>
        <w:t>The substantially larger timeline requirement for CSI than for regular UL data creates several problems for the UL/DL scheduler</w:t>
      </w:r>
      <w:r w:rsidR="009A7D8F">
        <w:t xml:space="preserve">. </w:t>
      </w:r>
      <w:r>
        <w:rPr>
          <w:lang w:val="en-US"/>
        </w:rPr>
        <w:t>The PUSCH resource for</w:t>
      </w:r>
      <w:r w:rsidR="00710BBC">
        <w:rPr>
          <w:lang w:val="en-US"/>
        </w:rPr>
        <w:t xml:space="preserve"> a</w:t>
      </w:r>
      <w:r>
        <w:rPr>
          <w:lang w:val="en-US"/>
        </w:rPr>
        <w:t xml:space="preserve"> user that require CSI transmission need to be pre-booked 6 slots in advance, which effectively gives much higher priority for CSI than for UL data. This means that URLLC UL traffic for other users cannot be transmitted</w:t>
      </w:r>
      <w:r w:rsidR="00710BBC">
        <w:rPr>
          <w:lang w:val="en-US"/>
        </w:rPr>
        <w:t xml:space="preserve"> in the pre-booked slot. The same reasoning also applies for UE itself. Since out-or-order PUSCH scheudling is not supported, the UE cannot be scheduled with any PUSCH transmission carrying only UL-SCH in slots n+1, n+2, n+3, n+4 or n+5, if it is scheduled with a CSI report in slot n+6.</w:t>
      </w:r>
      <w:r w:rsidR="006275DB">
        <w:rPr>
          <w:lang w:val="en-US"/>
        </w:rPr>
        <w:t xml:space="preserve"> This</w:t>
      </w:r>
      <w:r w:rsidR="00305FAE">
        <w:rPr>
          <w:lang w:val="en-US"/>
        </w:rPr>
        <w:t xml:space="preserve"> restriction has effects that ripples over to </w:t>
      </w:r>
      <w:r w:rsidR="00D91738">
        <w:rPr>
          <w:lang w:val="en-US"/>
        </w:rPr>
        <w:t xml:space="preserve">problems in </w:t>
      </w:r>
      <w:r w:rsidR="00305FAE">
        <w:rPr>
          <w:lang w:val="en-US"/>
        </w:rPr>
        <w:t>both downlink and uplink scheduling</w:t>
      </w:r>
      <w:r w:rsidR="00D91738">
        <w:rPr>
          <w:lang w:val="en-US"/>
        </w:rPr>
        <w:t>.</w:t>
      </w:r>
    </w:p>
    <w:p w14:paraId="7B215113" w14:textId="413FFF79" w:rsidR="00710BBC" w:rsidRDefault="00710BBC" w:rsidP="00710BBC">
      <w:pPr>
        <w:pStyle w:val="Observation"/>
      </w:pPr>
      <w:bookmarkStart w:id="16" w:name="_Toc24131334"/>
      <w:r>
        <w:t>The CSI timeline requirement is substantially larger than the PUSCH timeline requirement. This causes complications and inefficiencies in</w:t>
      </w:r>
      <w:r w:rsidR="00D91738">
        <w:t xml:space="preserve"> both</w:t>
      </w:r>
      <w:r>
        <w:t xml:space="preserve"> the </w:t>
      </w:r>
      <w:proofErr w:type="gramStart"/>
      <w:r>
        <w:t xml:space="preserve">UL </w:t>
      </w:r>
      <w:r w:rsidR="00D91738">
        <w:t xml:space="preserve"> and</w:t>
      </w:r>
      <w:proofErr w:type="gramEnd"/>
      <w:r w:rsidR="00D91738">
        <w:t xml:space="preserve"> DL </w:t>
      </w:r>
      <w:r>
        <w:t>scheduling.</w:t>
      </w:r>
      <w:bookmarkEnd w:id="16"/>
    </w:p>
    <w:p w14:paraId="04DFB380" w14:textId="437BD667" w:rsidR="000151F9" w:rsidRDefault="00A27E88" w:rsidP="004F17DB">
      <w:pPr>
        <w:pStyle w:val="BodyText"/>
      </w:pPr>
      <w:r>
        <w:t xml:space="preserve">It should be noted that the CSI timeline requirement was dimensioned assuming the UE needs to have </w:t>
      </w:r>
      <w:proofErr w:type="gramStart"/>
      <w:r>
        <w:t>sufficient</w:t>
      </w:r>
      <w:proofErr w:type="gramEnd"/>
      <w:r>
        <w:t xml:space="preserve"> time to simultaneously calculate 5 concurrent CSI reports</w:t>
      </w:r>
      <w:r w:rsidR="000151F9">
        <w:t>, i.e. assuming CA operation. In single-CC operation, the gNB may typically only trigger a single concurrent CSI report and even in the CA case the gNB can TDM the CSI reports for the different CCs. I</w:t>
      </w:r>
      <w:r w:rsidR="00F546C7">
        <w:t>n</w:t>
      </w:r>
      <w:r w:rsidR="000151F9">
        <w:t xml:space="preserve"> this case, it is likely that CSI report could be delivered in much shorten time. Additionally, there was discussion in Rel-15 of introducing an advanced CSI processing capability analogous to the advanced PDSCH/PUSCH timeline capabilities, however it was postponed due to lack of time. In Rel-17, advanced CSI timeline capability or new timeline requirement for single CSI report should be considered.</w:t>
      </w:r>
    </w:p>
    <w:p w14:paraId="06B0A4B1" w14:textId="77777777" w:rsidR="004F17DB" w:rsidRDefault="00E820B9" w:rsidP="000151F9">
      <w:pPr>
        <w:pStyle w:val="Proposal"/>
      </w:pPr>
      <w:bookmarkStart w:id="17" w:name="_Toc24131344"/>
      <w:r>
        <w:t>In Rel-17, i</w:t>
      </w:r>
      <w:r w:rsidR="000151F9">
        <w:t>ntroduce new CSI timeline requirement for single triggered CSI report or an advanced CSI timeline capability</w:t>
      </w:r>
      <w:bookmarkEnd w:id="17"/>
    </w:p>
    <w:p w14:paraId="374A5A53" w14:textId="77777777" w:rsidR="004F17DB" w:rsidRDefault="004F17DB" w:rsidP="004F17DB">
      <w:pPr>
        <w:pStyle w:val="Heading3"/>
      </w:pPr>
      <w:r>
        <w:t>2.4.2</w:t>
      </w:r>
      <w:r>
        <w:tab/>
        <w:t>Early CSI reporting</w:t>
      </w:r>
    </w:p>
    <w:p w14:paraId="3A77F88C" w14:textId="77777777" w:rsidR="004F17DB" w:rsidRDefault="004F17DB" w:rsidP="004F17DB">
      <w:pPr>
        <w:pStyle w:val="BodyText"/>
      </w:pPr>
      <w:r>
        <w:t>With link adaptation, the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border and is forced to use quite robust modulation and coding scheme.</w:t>
      </w:r>
    </w:p>
    <w:p w14:paraId="2786D6E5" w14:textId="6F380B86" w:rsidR="004F17DB" w:rsidRDefault="004F17DB" w:rsidP="004F17DB">
      <w:pPr>
        <w:pStyle w:val="BodyText"/>
      </w:pPr>
      <w:r>
        <w:t xml:space="preserve">The four-step random access procedure is depicted in </w:t>
      </w:r>
      <w:r>
        <w:fldChar w:fldCharType="begin"/>
      </w:r>
      <w:r>
        <w:instrText xml:space="preserve"> REF _Ref4748451 \h </w:instrText>
      </w:r>
      <w:r>
        <w:fldChar w:fldCharType="separate"/>
      </w:r>
      <w:r w:rsidR="00247153" w:rsidRPr="00CE0424">
        <w:t xml:space="preserve">Figure </w:t>
      </w:r>
      <w:r w:rsidR="00247153">
        <w:rPr>
          <w:noProof/>
        </w:rPr>
        <w:t>3</w:t>
      </w:r>
      <w:r>
        <w:fldChar w:fldCharType="end"/>
      </w:r>
      <w:r>
        <w:t>.</w:t>
      </w:r>
    </w:p>
    <w:p w14:paraId="7AEEE654" w14:textId="77777777" w:rsidR="004F17DB" w:rsidRPr="00CE0424" w:rsidRDefault="004F17DB" w:rsidP="004F17DB">
      <w:pPr>
        <w:pStyle w:val="TH"/>
      </w:pPr>
      <w:r>
        <w:rPr>
          <w:noProof/>
        </w:rPr>
        <w:drawing>
          <wp:inline distT="0" distB="0" distL="0" distR="0" wp14:anchorId="3F6062BC" wp14:editId="6FB8A0E2">
            <wp:extent cx="2597121" cy="2566638"/>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steprach.png"/>
                    <pic:cNvPicPr/>
                  </pic:nvPicPr>
                  <pic:blipFill>
                    <a:blip r:embed="rId15">
                      <a:extLst>
                        <a:ext uri="{28A0092B-C50C-407E-A947-70E740481C1C}">
                          <a14:useLocalDpi xmlns:a14="http://schemas.microsoft.com/office/drawing/2010/main" val="0"/>
                        </a:ext>
                      </a:extLst>
                    </a:blip>
                    <a:stretch>
                      <a:fillRect/>
                    </a:stretch>
                  </pic:blipFill>
                  <pic:spPr>
                    <a:xfrm>
                      <a:off x="0" y="0"/>
                      <a:ext cx="2597121" cy="2566638"/>
                    </a:xfrm>
                    <a:prstGeom prst="rect">
                      <a:avLst/>
                    </a:prstGeom>
                  </pic:spPr>
                </pic:pic>
              </a:graphicData>
            </a:graphic>
          </wp:inline>
        </w:drawing>
      </w:r>
      <w:r w:rsidRPr="00CE0424">
        <w:t xml:space="preserve"> </w:t>
      </w:r>
    </w:p>
    <w:p w14:paraId="3A072E3C" w14:textId="54DDB345" w:rsidR="004F17DB" w:rsidRPr="005B27C7" w:rsidRDefault="004F17DB" w:rsidP="004F17DB">
      <w:pPr>
        <w:pStyle w:val="TF"/>
        <w:rPr>
          <w:lang w:val="en-US"/>
        </w:rPr>
      </w:pPr>
      <w:bookmarkStart w:id="18" w:name="_Ref4748451"/>
      <w:r w:rsidRPr="00CE0424">
        <w:t xml:space="preserve">Figure </w:t>
      </w:r>
      <w:r>
        <w:rPr>
          <w:noProof/>
        </w:rPr>
        <w:fldChar w:fldCharType="begin"/>
      </w:r>
      <w:r>
        <w:rPr>
          <w:noProof/>
        </w:rPr>
        <w:instrText xml:space="preserve"> SEQ Figure \* ARABIC </w:instrText>
      </w:r>
      <w:r>
        <w:rPr>
          <w:noProof/>
        </w:rPr>
        <w:fldChar w:fldCharType="separate"/>
      </w:r>
      <w:r w:rsidR="00247153">
        <w:rPr>
          <w:noProof/>
        </w:rPr>
        <w:t>3</w:t>
      </w:r>
      <w:r>
        <w:rPr>
          <w:noProof/>
        </w:rPr>
        <w:fldChar w:fldCharType="end"/>
      </w:r>
      <w:bookmarkEnd w:id="18"/>
      <w:r w:rsidRPr="00CE0424">
        <w:t xml:space="preserve">: </w:t>
      </w:r>
      <w:r w:rsidRPr="005B27C7">
        <w:rPr>
          <w:lang w:val="en-US"/>
        </w:rPr>
        <w:t>Four step random a</w:t>
      </w:r>
      <w:r>
        <w:rPr>
          <w:lang w:val="en-US"/>
        </w:rPr>
        <w:t>ccess.</w:t>
      </w:r>
    </w:p>
    <w:p w14:paraId="4085883E" w14:textId="69C13889" w:rsidR="004F17DB" w:rsidRDefault="004F17DB" w:rsidP="004F17DB">
      <w:pPr>
        <w:pStyle w:val="BodyText"/>
      </w:pPr>
      <w:r>
        <w:lastRenderedPageBreak/>
        <w:t xml:space="preserve">In RAR, the NW may include a CSI request: there is a bit reserved for that purpose, as described in </w:t>
      </w:r>
      <w:r w:rsidRPr="005B27C7">
        <w:t>Table 8.2-1</w:t>
      </w:r>
      <w:r>
        <w:t xml:space="preserve"> in </w:t>
      </w:r>
      <w:r>
        <w:fldChar w:fldCharType="begin"/>
      </w:r>
      <w:r>
        <w:instrText xml:space="preserve"> REF _Ref4746959 \r \h </w:instrText>
      </w:r>
      <w:r>
        <w:fldChar w:fldCharType="separate"/>
      </w:r>
      <w:r w:rsidR="00247153">
        <w:t>[1]</w:t>
      </w:r>
      <w:r>
        <w:fldChar w:fldCharType="end"/>
      </w:r>
      <w:r>
        <w:t>. However, there is no description what that bit would be used for. The CSI request field was introduced in NB-IoT, with the purpose to aid the PDCCH link adaptation: the UE would provide the NW with a CSI report already in Msg3. This is described in</w:t>
      </w:r>
      <w:r w:rsidR="00140EEB">
        <w:t xml:space="preserve"> </w:t>
      </w:r>
      <w:r w:rsidR="00140EEB">
        <w:fldChar w:fldCharType="begin"/>
      </w:r>
      <w:r w:rsidR="00140EEB">
        <w:instrText xml:space="preserve"> REF _Ref4753385 \r \h </w:instrText>
      </w:r>
      <w:r w:rsidR="00140EEB">
        <w:fldChar w:fldCharType="separate"/>
      </w:r>
      <w:r w:rsidR="00247153">
        <w:t>[2]</w:t>
      </w:r>
      <w:r w:rsidR="00140EEB">
        <w:fldChar w:fldCharType="end"/>
      </w:r>
      <w:r w:rsidR="00140EEB">
        <w:fldChar w:fldCharType="begin"/>
      </w:r>
      <w:r w:rsidR="00140EEB">
        <w:instrText xml:space="preserve"> REF _Ref24125016 \r \h </w:instrText>
      </w:r>
      <w:r w:rsidR="00140EEB">
        <w:fldChar w:fldCharType="separate"/>
      </w:r>
      <w:r w:rsidR="00247153">
        <w:t>[3]</w:t>
      </w:r>
      <w:r w:rsidR="00140EEB">
        <w:fldChar w:fldCharType="end"/>
      </w:r>
      <w:r>
        <w:t>.</w:t>
      </w:r>
    </w:p>
    <w:p w14:paraId="5DC88132" w14:textId="77777777" w:rsidR="004F17DB" w:rsidRDefault="004F17DB" w:rsidP="004F17DB">
      <w:pPr>
        <w:pStyle w:val="BodyText"/>
      </w:pPr>
      <w:r>
        <w:t xml:space="preserve">We propose to introduce such CSI reporting also for NR: </w:t>
      </w:r>
    </w:p>
    <w:p w14:paraId="701150B9" w14:textId="77777777" w:rsidR="004F17DB" w:rsidRPr="00A04F49" w:rsidRDefault="004F17DB" w:rsidP="004F17DB">
      <w:pPr>
        <w:pStyle w:val="Proposal"/>
      </w:pPr>
      <w:bookmarkStart w:id="19" w:name="_Toc4766658"/>
      <w:bookmarkStart w:id="20" w:name="_Toc24131345"/>
      <w:r>
        <w:t>Support CSI reporting in Msg3 triggered by the CSI request bit in the RAR grant, both for contention-based and non-contention-based random access.</w:t>
      </w:r>
      <w:bookmarkEnd w:id="19"/>
      <w:bookmarkEnd w:id="20"/>
      <w:r>
        <w:t xml:space="preserve"> </w:t>
      </w:r>
    </w:p>
    <w:p w14:paraId="6352C92F" w14:textId="77777777" w:rsidR="004F17DB" w:rsidRDefault="004F17DB" w:rsidP="004F17DB">
      <w:pPr>
        <w:pStyle w:val="BodyText"/>
      </w:pPr>
      <w:r>
        <w:t xml:space="preserve">For non-contention-based access, the network knows which UE sent the PRACH preamble, and knows the RRC configuration of that UE: the RRC configuration in the new cell has been provided in the RRCReconfigurationWithSync. Thus, the </w:t>
      </w:r>
    </w:p>
    <w:p w14:paraId="79FCF333" w14:textId="77777777" w:rsidR="004F17DB" w:rsidRPr="00A04F49" w:rsidRDefault="004F17DB" w:rsidP="004F17DB">
      <w:pPr>
        <w:pStyle w:val="Proposal"/>
      </w:pPr>
      <w:bookmarkStart w:id="21" w:name="_Toc4766659"/>
      <w:bookmarkStart w:id="22" w:name="_Toc24131346"/>
      <w:r>
        <w:t>For non-contention-based access, the UE reports CSI according to a specific CSIReportConfig conveyed in the RRCReconfigurationWithSync.</w:t>
      </w:r>
      <w:bookmarkEnd w:id="21"/>
      <w:bookmarkEnd w:id="22"/>
      <w:r>
        <w:t xml:space="preserve"> </w:t>
      </w:r>
    </w:p>
    <w:p w14:paraId="780AF7A4" w14:textId="77777777" w:rsidR="004F17DB" w:rsidRDefault="004F17DB" w:rsidP="004F17DB">
      <w:pPr>
        <w:pStyle w:val="BodyText"/>
      </w:pPr>
      <w:r>
        <w:t>Clearly, the UE would only be capable of reporting valid CSI for some CSI resource configurations: the reference signal must be periodic, and the UE must have time to perform a measurement on the CSI-RS:</w:t>
      </w:r>
    </w:p>
    <w:p w14:paraId="57CB4231" w14:textId="77777777" w:rsidR="004F17DB" w:rsidRDefault="004F17DB" w:rsidP="004F17DB">
      <w:pPr>
        <w:pStyle w:val="Observation"/>
      </w:pPr>
      <w:bookmarkStart w:id="23" w:name="_Toc4766656"/>
      <w:bookmarkStart w:id="24" w:name="_Toc24131335"/>
      <w:r>
        <w:t>Only certain CSI resource configurations would be relevant for early CSI reporting.</w:t>
      </w:r>
      <w:bookmarkEnd w:id="23"/>
      <w:bookmarkEnd w:id="24"/>
      <w:r>
        <w:t xml:space="preserve"> </w:t>
      </w:r>
    </w:p>
    <w:p w14:paraId="2BB73622" w14:textId="77777777" w:rsidR="004F17DB" w:rsidRDefault="004F17DB" w:rsidP="004F17DB">
      <w:pPr>
        <w:pStyle w:val="BodyText"/>
      </w:pPr>
      <w:r>
        <w:t>For contention-based access after handover, the network does not know the identity of the UE sending the PRACH, and the network does not know the configuration of the UE. Asking the UE to report CSI according to a certain CSIReportConfig will not work in this case.</w:t>
      </w:r>
    </w:p>
    <w:p w14:paraId="2EA47225" w14:textId="77777777" w:rsidR="004F17DB" w:rsidRDefault="004F17DB" w:rsidP="004F17DB">
      <w:pPr>
        <w:pStyle w:val="BodyText"/>
      </w:pPr>
      <w:r>
        <w:t>Instead, for contention-based access, the UE can be asked to report CSI according to a default configuration. This is similar to the procedure specified for NB-IoT:</w:t>
      </w:r>
    </w:p>
    <w:p w14:paraId="75BBCD54" w14:textId="77777777" w:rsidR="004F17DB" w:rsidRDefault="004F17DB" w:rsidP="004F17DB">
      <w:pPr>
        <w:pStyle w:val="Proposal"/>
      </w:pPr>
      <w:bookmarkStart w:id="25" w:name="_Ref4754489"/>
      <w:bookmarkStart w:id="26" w:name="_Toc4766660"/>
      <w:bookmarkStart w:id="27" w:name="_Toc24131347"/>
      <w:r>
        <w:t>For contention-based access, the UE reports CSI according to a default CSI report configuration.</w:t>
      </w:r>
      <w:bookmarkEnd w:id="25"/>
      <w:bookmarkEnd w:id="26"/>
      <w:bookmarkEnd w:id="27"/>
    </w:p>
    <w:p w14:paraId="40C11231" w14:textId="62BFDB72" w:rsidR="004F17DB" w:rsidRDefault="004F17DB" w:rsidP="004F17DB">
      <w:pPr>
        <w:pStyle w:val="BodyText"/>
      </w:pPr>
      <w:r>
        <w:t xml:space="preserve">For the default configuration mentioned in </w:t>
      </w:r>
      <w:r>
        <w:fldChar w:fldCharType="begin"/>
      </w:r>
      <w:r>
        <w:instrText xml:space="preserve"> REF _Ref4754489 \r \h </w:instrText>
      </w:r>
      <w:r>
        <w:fldChar w:fldCharType="separate"/>
      </w:r>
      <w:r w:rsidR="00247153">
        <w:t>Proposal 11</w:t>
      </w:r>
      <w:r>
        <w:fldChar w:fldCharType="end"/>
      </w:r>
      <w:r>
        <w:t>, the UE could only use the reference signals known before the handover: the SS/PBCH block of the CSI-RS for mobility. Furthermore, the UE cannot be provided with any specific interference measurement resource (IMR):</w:t>
      </w:r>
    </w:p>
    <w:p w14:paraId="49E3B33F" w14:textId="77777777" w:rsidR="004F17DB" w:rsidRPr="005B27C7" w:rsidRDefault="004F17DB" w:rsidP="004F17DB">
      <w:pPr>
        <w:pStyle w:val="Observation"/>
      </w:pPr>
      <w:bookmarkStart w:id="28" w:name="_Toc4766657"/>
      <w:bookmarkStart w:id="29" w:name="_Toc24131336"/>
      <w:r>
        <w:t>The CSI resource configuration for the default CSI report configuration would only contain a channel measurement resource that is known to the UE and no interference measurement resource.</w:t>
      </w:r>
      <w:bookmarkEnd w:id="28"/>
      <w:bookmarkEnd w:id="29"/>
    </w:p>
    <w:p w14:paraId="08280C52" w14:textId="67154D7B" w:rsidR="00710BBC" w:rsidRPr="00AF5C52" w:rsidRDefault="000151F9" w:rsidP="004F17DB">
      <w:pPr>
        <w:pStyle w:val="Heading3"/>
      </w:pPr>
      <w:r>
        <w:t xml:space="preserve"> </w:t>
      </w:r>
    </w:p>
    <w:p w14:paraId="14DE210F" w14:textId="77777777" w:rsidR="00C01F33" w:rsidRPr="00CE0424" w:rsidRDefault="00C01F33" w:rsidP="00CE0424">
      <w:pPr>
        <w:pStyle w:val="Heading1"/>
      </w:pPr>
      <w:r w:rsidRPr="00CE0424">
        <w:t>Conclusion</w:t>
      </w:r>
    </w:p>
    <w:p w14:paraId="28A6F6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B34D02" w14:textId="5F4CC1F2" w:rsidR="00247153"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24131327" w:history="1">
        <w:r w:rsidR="00247153" w:rsidRPr="00286117">
          <w:rPr>
            <w:rStyle w:val="Hyperlink"/>
            <w:noProof/>
          </w:rPr>
          <w:t>Observation 1</w:t>
        </w:r>
        <w:r w:rsidR="00247153">
          <w:rPr>
            <w:rFonts w:asciiTheme="minorHAnsi" w:eastAsiaTheme="minorEastAsia" w:hAnsiTheme="minorHAnsi" w:cstheme="minorBidi"/>
            <w:b w:val="0"/>
            <w:noProof/>
            <w:sz w:val="22"/>
            <w:szCs w:val="22"/>
            <w:lang w:val="en-US" w:eastAsia="en-US"/>
          </w:rPr>
          <w:tab/>
        </w:r>
        <w:r w:rsidR="00247153" w:rsidRPr="00286117">
          <w:rPr>
            <w:rStyle w:val="Hyperlink"/>
            <w:noProof/>
          </w:rPr>
          <w:t>The beam management procedures are more lightweight than the handover procedures.</w:t>
        </w:r>
      </w:hyperlink>
    </w:p>
    <w:p w14:paraId="7A9E3032" w14:textId="43E1A658"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28" w:history="1">
        <w:r w:rsidRPr="00286117">
          <w:rPr>
            <w:rStyle w:val="Hyperlink"/>
            <w:noProof/>
          </w:rPr>
          <w:t>Observation 2</w:t>
        </w:r>
        <w:r>
          <w:rPr>
            <w:rFonts w:asciiTheme="minorHAnsi" w:eastAsiaTheme="minorEastAsia" w:hAnsiTheme="minorHAnsi" w:cstheme="minorBidi"/>
            <w:b w:val="0"/>
            <w:noProof/>
            <w:sz w:val="22"/>
            <w:szCs w:val="22"/>
            <w:lang w:val="en-US" w:eastAsia="en-US"/>
          </w:rPr>
          <w:tab/>
        </w:r>
        <w:r w:rsidRPr="00286117">
          <w:rPr>
            <w:rStyle w:val="Hyperlink"/>
            <w:noProof/>
          </w:rPr>
          <w:t>The Release-16 beam management procedures can only refer to RSs that are related to a serving cell.</w:t>
        </w:r>
      </w:hyperlink>
    </w:p>
    <w:p w14:paraId="21ABF2B7" w14:textId="0F88082D"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29" w:history="1">
        <w:r w:rsidRPr="00286117">
          <w:rPr>
            <w:rStyle w:val="Hyperlink"/>
            <w:noProof/>
          </w:rPr>
          <w:t>Observation 3</w:t>
        </w:r>
        <w:r>
          <w:rPr>
            <w:rFonts w:asciiTheme="minorHAnsi" w:eastAsiaTheme="minorEastAsia" w:hAnsiTheme="minorHAnsi" w:cstheme="minorBidi"/>
            <w:b w:val="0"/>
            <w:noProof/>
            <w:sz w:val="22"/>
            <w:szCs w:val="22"/>
            <w:lang w:val="en-US" w:eastAsia="en-US"/>
          </w:rPr>
          <w:tab/>
        </w:r>
        <w:r w:rsidRPr="00286117">
          <w:rPr>
            <w:rStyle w:val="Hyperlink"/>
            <w:noProof/>
          </w:rPr>
          <w:t>The limitation that the beam management procedures only refer to RS related to a serving cell is artificial, and UEs already today have support for at least some of the functionality related to inter-cell beam management.</w:t>
        </w:r>
      </w:hyperlink>
    </w:p>
    <w:p w14:paraId="5C8B1665" w14:textId="6B5429D9"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0" w:history="1">
        <w:r w:rsidRPr="00286117">
          <w:rPr>
            <w:rStyle w:val="Hyperlink"/>
            <w:noProof/>
          </w:rPr>
          <w:t>Observation 4</w:t>
        </w:r>
        <w:r>
          <w:rPr>
            <w:rFonts w:asciiTheme="minorHAnsi" w:eastAsiaTheme="minorEastAsia" w:hAnsiTheme="minorHAnsi" w:cstheme="minorBidi"/>
            <w:b w:val="0"/>
            <w:noProof/>
            <w:sz w:val="22"/>
            <w:szCs w:val="22"/>
            <w:lang w:val="en-US" w:eastAsia="en-US"/>
          </w:rPr>
          <w:tab/>
        </w:r>
        <w:r w:rsidRPr="00286117">
          <w:rPr>
            <w:rStyle w:val="Hyperlink"/>
            <w:noProof/>
          </w:rPr>
          <w:t>Already for a moderate number of beams, a UE may pass through one beam in around 140ms, leading to a challenging problem for the beam management algorithms.</w:t>
        </w:r>
      </w:hyperlink>
    </w:p>
    <w:p w14:paraId="5EE6F835" w14:textId="393EBD92"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1" w:history="1">
        <w:r w:rsidRPr="00286117">
          <w:rPr>
            <w:rStyle w:val="Hyperlink"/>
            <w:noProof/>
          </w:rPr>
          <w:t>Observation 5</w:t>
        </w:r>
        <w:r>
          <w:rPr>
            <w:rFonts w:asciiTheme="minorHAnsi" w:eastAsiaTheme="minorEastAsia" w:hAnsiTheme="minorHAnsi" w:cstheme="minorBidi"/>
            <w:b w:val="0"/>
            <w:noProof/>
            <w:sz w:val="22"/>
            <w:szCs w:val="22"/>
            <w:lang w:val="en-US" w:eastAsia="en-US"/>
          </w:rPr>
          <w:tab/>
        </w:r>
        <w:r w:rsidRPr="00286117">
          <w:rPr>
            <w:rStyle w:val="Hyperlink"/>
            <w:noProof/>
          </w:rPr>
          <w:t>There is little point in studying only intra-cell mobility, since inter-cell mobility is more problematic.</w:t>
        </w:r>
      </w:hyperlink>
    </w:p>
    <w:p w14:paraId="5DCCE916" w14:textId="64BDA5B6"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2" w:history="1">
        <w:r w:rsidRPr="00286117">
          <w:rPr>
            <w:rStyle w:val="Hyperlink"/>
            <w:noProof/>
          </w:rPr>
          <w:t>Observation 6</w:t>
        </w:r>
        <w:r>
          <w:rPr>
            <w:rFonts w:asciiTheme="minorHAnsi" w:eastAsiaTheme="minorEastAsia" w:hAnsiTheme="minorHAnsi" w:cstheme="minorBidi"/>
            <w:b w:val="0"/>
            <w:noProof/>
            <w:sz w:val="22"/>
            <w:szCs w:val="22"/>
            <w:lang w:val="en-US" w:eastAsia="en-US"/>
          </w:rPr>
          <w:tab/>
        </w:r>
        <w:r w:rsidRPr="00286117">
          <w:rPr>
            <w:rStyle w:val="Hyperlink"/>
            <w:noProof/>
          </w:rPr>
          <w:t>The Release-16 beam management procedures need to be further streamlined to facilitate operation at higher UE speeds and narrower beams.</w:t>
        </w:r>
      </w:hyperlink>
    </w:p>
    <w:p w14:paraId="1916D70C" w14:textId="26581EAF"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3" w:history="1">
        <w:r w:rsidRPr="00286117">
          <w:rPr>
            <w:rStyle w:val="Hyperlink"/>
            <w:noProof/>
          </w:rPr>
          <w:t>Observation 7</w:t>
        </w:r>
        <w:r>
          <w:rPr>
            <w:rFonts w:asciiTheme="minorHAnsi" w:eastAsiaTheme="minorEastAsia" w:hAnsiTheme="minorHAnsi" w:cstheme="minorBidi"/>
            <w:b w:val="0"/>
            <w:noProof/>
            <w:sz w:val="22"/>
            <w:szCs w:val="22"/>
            <w:lang w:val="en-US" w:eastAsia="en-US"/>
          </w:rPr>
          <w:tab/>
        </w:r>
        <w:r w:rsidRPr="00286117">
          <w:rPr>
            <w:rStyle w:val="Hyperlink"/>
            <w:noProof/>
          </w:rPr>
          <w:t>The majority of all triggered CSI will be of the High Latency CSI class</w:t>
        </w:r>
      </w:hyperlink>
    </w:p>
    <w:p w14:paraId="1C44A9F9" w14:textId="4CFDF124"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4" w:history="1">
        <w:r w:rsidRPr="00286117">
          <w:rPr>
            <w:rStyle w:val="Hyperlink"/>
            <w:noProof/>
          </w:rPr>
          <w:t>Observation 8</w:t>
        </w:r>
        <w:r>
          <w:rPr>
            <w:rFonts w:asciiTheme="minorHAnsi" w:eastAsiaTheme="minorEastAsia" w:hAnsiTheme="minorHAnsi" w:cstheme="minorBidi"/>
            <w:b w:val="0"/>
            <w:noProof/>
            <w:sz w:val="22"/>
            <w:szCs w:val="22"/>
            <w:lang w:val="en-US" w:eastAsia="en-US"/>
          </w:rPr>
          <w:tab/>
        </w:r>
        <w:r w:rsidRPr="00286117">
          <w:rPr>
            <w:rStyle w:val="Hyperlink"/>
            <w:noProof/>
          </w:rPr>
          <w:t>The CSI timeline requirement is substantially larger than the PUSCH timeline requirement. This causes complications and inefficiencies in both the UL  and DL scheduling.</w:t>
        </w:r>
      </w:hyperlink>
    </w:p>
    <w:p w14:paraId="11397B4B" w14:textId="645F1C04"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5" w:history="1">
        <w:r w:rsidRPr="00286117">
          <w:rPr>
            <w:rStyle w:val="Hyperlink"/>
            <w:noProof/>
          </w:rPr>
          <w:t>Observation 9</w:t>
        </w:r>
        <w:r>
          <w:rPr>
            <w:rFonts w:asciiTheme="minorHAnsi" w:eastAsiaTheme="minorEastAsia" w:hAnsiTheme="minorHAnsi" w:cstheme="minorBidi"/>
            <w:b w:val="0"/>
            <w:noProof/>
            <w:sz w:val="22"/>
            <w:szCs w:val="22"/>
            <w:lang w:val="en-US" w:eastAsia="en-US"/>
          </w:rPr>
          <w:tab/>
        </w:r>
        <w:r w:rsidRPr="00286117">
          <w:rPr>
            <w:rStyle w:val="Hyperlink"/>
            <w:noProof/>
          </w:rPr>
          <w:t>Only certain CSI resource configurations would be relevant for early CSI reporting.</w:t>
        </w:r>
      </w:hyperlink>
    </w:p>
    <w:p w14:paraId="653BAACF" w14:textId="5862F20C"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6" w:history="1">
        <w:r w:rsidRPr="00286117">
          <w:rPr>
            <w:rStyle w:val="Hyperlink"/>
            <w:noProof/>
          </w:rPr>
          <w:t>Observation 10</w:t>
        </w:r>
        <w:r>
          <w:rPr>
            <w:rFonts w:asciiTheme="minorHAnsi" w:eastAsiaTheme="minorEastAsia" w:hAnsiTheme="minorHAnsi" w:cstheme="minorBidi"/>
            <w:b w:val="0"/>
            <w:noProof/>
            <w:sz w:val="22"/>
            <w:szCs w:val="22"/>
            <w:lang w:val="en-US" w:eastAsia="en-US"/>
          </w:rPr>
          <w:tab/>
        </w:r>
        <w:r w:rsidRPr="00286117">
          <w:rPr>
            <w:rStyle w:val="Hyperlink"/>
            <w:noProof/>
          </w:rPr>
          <w:t>The CSI resource configuration for the default CSI report configuration would only contain a channel measurement resource that is known to the UE and no interference measurement resource.</w:t>
        </w:r>
      </w:hyperlink>
    </w:p>
    <w:p w14:paraId="0EBFF547" w14:textId="0FFB5297" w:rsidR="006E1C82" w:rsidRDefault="006F6582" w:rsidP="008E065E">
      <w:pPr>
        <w:pStyle w:val="BodyText"/>
        <w:rPr>
          <w:b/>
          <w:bCs/>
        </w:rPr>
      </w:pPr>
      <w:r>
        <w:rPr>
          <w:b/>
          <w:bCs/>
        </w:rPr>
        <w:fldChar w:fldCharType="end"/>
      </w:r>
      <w:bookmarkStart w:id="30" w:name="_GoBack"/>
      <w:bookmarkEnd w:id="30"/>
    </w:p>
    <w:p w14:paraId="75316A1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1E29775" w14:textId="7B35F49A" w:rsidR="00247153"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31337" w:history="1">
        <w:r w:rsidR="00247153" w:rsidRPr="008D0918">
          <w:rPr>
            <w:rStyle w:val="Hyperlink"/>
            <w:noProof/>
          </w:rPr>
          <w:t>Proposal 1</w:t>
        </w:r>
        <w:r w:rsidR="00247153">
          <w:rPr>
            <w:rFonts w:asciiTheme="minorHAnsi" w:eastAsiaTheme="minorEastAsia" w:hAnsiTheme="minorHAnsi" w:cstheme="minorBidi"/>
            <w:b w:val="0"/>
            <w:noProof/>
            <w:sz w:val="22"/>
            <w:szCs w:val="22"/>
            <w:lang w:val="en-US" w:eastAsia="en-US"/>
          </w:rPr>
          <w:tab/>
        </w:r>
        <w:r w:rsidR="00247153" w:rsidRPr="008D0918">
          <w:rPr>
            <w:rStyle w:val="Hyperlink"/>
            <w:noProof/>
          </w:rPr>
          <w:t>In Release-17, streamline the beam management procedures to facilitate operation for higher UE speeds and new use cases.</w:t>
        </w:r>
      </w:hyperlink>
    </w:p>
    <w:p w14:paraId="5CD93314" w14:textId="6DFD25AA"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8" w:history="1">
        <w:r w:rsidRPr="008D0918">
          <w:rPr>
            <w:rStyle w:val="Hyperlink"/>
            <w:noProof/>
          </w:rPr>
          <w:t>Proposal 2</w:t>
        </w:r>
        <w:r>
          <w:rPr>
            <w:rFonts w:asciiTheme="minorHAnsi" w:eastAsiaTheme="minorEastAsia" w:hAnsiTheme="minorHAnsi" w:cstheme="minorBidi"/>
            <w:b w:val="0"/>
            <w:noProof/>
            <w:sz w:val="22"/>
            <w:szCs w:val="22"/>
            <w:lang w:val="en-US" w:eastAsia="en-US"/>
          </w:rPr>
          <w:tab/>
        </w:r>
        <w:r w:rsidRPr="008D0918">
          <w:rPr>
            <w:rStyle w:val="Hyperlink"/>
            <w:noProof/>
          </w:rPr>
          <w:t>The Release-17 beam management procedure should support also inter-cell operation.</w:t>
        </w:r>
      </w:hyperlink>
    </w:p>
    <w:p w14:paraId="13895C5C" w14:textId="05DEF79A"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39" w:history="1">
        <w:r w:rsidRPr="008D0918">
          <w:rPr>
            <w:rStyle w:val="Hyperlink"/>
            <w:noProof/>
          </w:rPr>
          <w:t>Proposal 3</w:t>
        </w:r>
        <w:r>
          <w:rPr>
            <w:rFonts w:asciiTheme="minorHAnsi" w:eastAsiaTheme="minorEastAsia" w:hAnsiTheme="minorHAnsi" w:cstheme="minorBidi"/>
            <w:b w:val="0"/>
            <w:noProof/>
            <w:sz w:val="22"/>
            <w:szCs w:val="22"/>
            <w:lang w:val="en-US" w:eastAsia="en-US"/>
          </w:rPr>
          <w:tab/>
        </w:r>
        <w:r w:rsidRPr="008D0918">
          <w:rPr>
            <w:rStyle w:val="Hyperlink"/>
            <w:noProof/>
          </w:rPr>
          <w:t>In Release-17, the support of multi-TRP URLLC schemes for DL SPS should be introduced to extend the benefits of multi-TRP URLLC for IIoT services.</w:t>
        </w:r>
      </w:hyperlink>
    </w:p>
    <w:p w14:paraId="17A903F3" w14:textId="4989C9F7"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40" w:history="1">
        <w:r w:rsidRPr="008D0918">
          <w:rPr>
            <w:rStyle w:val="Hyperlink"/>
            <w:noProof/>
          </w:rPr>
          <w:t>Proposal 4</w:t>
        </w:r>
        <w:r>
          <w:rPr>
            <w:rFonts w:asciiTheme="minorHAnsi" w:eastAsiaTheme="minorEastAsia" w:hAnsiTheme="minorHAnsi" w:cstheme="minorBidi"/>
            <w:b w:val="0"/>
            <w:noProof/>
            <w:sz w:val="22"/>
            <w:szCs w:val="22"/>
            <w:lang w:val="en-US" w:eastAsia="en-US"/>
          </w:rPr>
          <w:tab/>
        </w:r>
        <w:r w:rsidRPr="008D0918">
          <w:rPr>
            <w:rStyle w:val="Hyperlink"/>
            <w:noProof/>
          </w:rPr>
          <w:t>In Release-17, Specify enhancement(s) on PDCCH/PUCCH/PUSCH reliability and latency in FR2 for multi-TRP case and multi-panel case at UE (using TDM:ed panel transmission), where specified solutions can be used also in single TRP case and/or in FR1.</w:t>
        </w:r>
      </w:hyperlink>
    </w:p>
    <w:p w14:paraId="4A09428A" w14:textId="50263245"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41" w:history="1">
        <w:r w:rsidRPr="008D0918">
          <w:rPr>
            <w:rStyle w:val="Hyperlink"/>
            <w:noProof/>
          </w:rPr>
          <w:t>Proposal 5</w:t>
        </w:r>
        <w:r>
          <w:rPr>
            <w:rFonts w:asciiTheme="minorHAnsi" w:eastAsiaTheme="minorEastAsia" w:hAnsiTheme="minorHAnsi" w:cstheme="minorBidi"/>
            <w:b w:val="0"/>
            <w:noProof/>
            <w:sz w:val="22"/>
            <w:szCs w:val="22"/>
            <w:lang w:val="en-US" w:eastAsia="en-US"/>
          </w:rPr>
          <w:tab/>
        </w:r>
        <w:r w:rsidRPr="008D0918">
          <w:rPr>
            <w:rStyle w:val="Hyperlink"/>
            <w:noProof/>
          </w:rPr>
          <w:t xml:space="preserve">In Release-17, </w:t>
        </w:r>
        <w:r w:rsidRPr="008D0918">
          <w:rPr>
            <w:rStyle w:val="Hyperlink"/>
            <w:rFonts w:eastAsia="SimSun" w:cs="Arial"/>
            <w:noProof/>
            <w:lang w:val="en-US"/>
          </w:rPr>
          <w:t>study the benefits of CSI enhancements for multi-TRP URLLC and, if found beneficial, specify CSI enhancements for multi-TRP targeting URLLC/IIoT operation</w:t>
        </w:r>
        <w:r w:rsidRPr="008D0918">
          <w:rPr>
            <w:rStyle w:val="Hyperlink"/>
            <w:noProof/>
          </w:rPr>
          <w:t>.</w:t>
        </w:r>
      </w:hyperlink>
    </w:p>
    <w:p w14:paraId="604A89FD" w14:textId="56213FBB"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42" w:history="1">
        <w:r w:rsidRPr="008D0918">
          <w:rPr>
            <w:rStyle w:val="Hyperlink"/>
            <w:noProof/>
          </w:rPr>
          <w:t>Proposal 6</w:t>
        </w:r>
        <w:r>
          <w:rPr>
            <w:rFonts w:asciiTheme="minorHAnsi" w:eastAsiaTheme="minorEastAsia" w:hAnsiTheme="minorHAnsi" w:cstheme="minorBidi"/>
            <w:b w:val="0"/>
            <w:noProof/>
            <w:sz w:val="22"/>
            <w:szCs w:val="22"/>
            <w:lang w:val="en-US" w:eastAsia="en-US"/>
          </w:rPr>
          <w:tab/>
        </w:r>
        <w:r w:rsidRPr="008D0918">
          <w:rPr>
            <w:rStyle w:val="Hyperlink"/>
            <w:noProof/>
          </w:rPr>
          <w:t>In Release-17, improve the flexibility for triggering aperiodic SRS so that many UEs can transmit SRS in the same uplink slot, although the triggering grants to these UEs can be transmitted in multiple downlink slots in order to distribute the PDCCH load.</w:t>
        </w:r>
      </w:hyperlink>
    </w:p>
    <w:p w14:paraId="269C914B" w14:textId="3A10B131"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43" w:history="1">
        <w:r w:rsidRPr="008D0918">
          <w:rPr>
            <w:rStyle w:val="Hyperlink"/>
            <w:noProof/>
            <w:lang w:val="en-AU"/>
          </w:rPr>
          <w:t>Proposal 7</w:t>
        </w:r>
        <w:r>
          <w:rPr>
            <w:rFonts w:asciiTheme="minorHAnsi" w:eastAsiaTheme="minorEastAsia" w:hAnsiTheme="minorHAnsi" w:cstheme="minorBidi"/>
            <w:b w:val="0"/>
            <w:noProof/>
            <w:sz w:val="22"/>
            <w:szCs w:val="22"/>
            <w:lang w:val="en-US" w:eastAsia="en-US"/>
          </w:rPr>
          <w:tab/>
        </w:r>
        <w:r w:rsidRPr="008D0918">
          <w:rPr>
            <w:rStyle w:val="Hyperlink"/>
            <w:noProof/>
            <w:lang w:val="en-AU"/>
          </w:rPr>
          <w:t>In Rel-17, introduce a mechanism to allow, in some circumstances, to use the same, single, SRS resource set for both UL MIMO codebook operation and DL CSI acquisition operation.</w:t>
        </w:r>
      </w:hyperlink>
    </w:p>
    <w:p w14:paraId="5F7EB0AD" w14:textId="6A04C5B0"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44" w:history="1">
        <w:r w:rsidRPr="008D0918">
          <w:rPr>
            <w:rStyle w:val="Hyperlink"/>
            <w:noProof/>
          </w:rPr>
          <w:t>Proposal 8</w:t>
        </w:r>
        <w:r>
          <w:rPr>
            <w:rFonts w:asciiTheme="minorHAnsi" w:eastAsiaTheme="minorEastAsia" w:hAnsiTheme="minorHAnsi" w:cstheme="minorBidi"/>
            <w:b w:val="0"/>
            <w:noProof/>
            <w:sz w:val="22"/>
            <w:szCs w:val="22"/>
            <w:lang w:val="en-US" w:eastAsia="en-US"/>
          </w:rPr>
          <w:tab/>
        </w:r>
        <w:r w:rsidRPr="008D0918">
          <w:rPr>
            <w:rStyle w:val="Hyperlink"/>
            <w:noProof/>
          </w:rPr>
          <w:t>In Rel-17, introduce new CSI timeline requirement for single triggered CSI report or an advanced CSI timeline capability</w:t>
        </w:r>
      </w:hyperlink>
    </w:p>
    <w:p w14:paraId="1A4CD329" w14:textId="0B2F4D87"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45" w:history="1">
        <w:r w:rsidRPr="008D0918">
          <w:rPr>
            <w:rStyle w:val="Hyperlink"/>
            <w:noProof/>
          </w:rPr>
          <w:t>Proposal 9</w:t>
        </w:r>
        <w:r>
          <w:rPr>
            <w:rFonts w:asciiTheme="minorHAnsi" w:eastAsiaTheme="minorEastAsia" w:hAnsiTheme="minorHAnsi" w:cstheme="minorBidi"/>
            <w:b w:val="0"/>
            <w:noProof/>
            <w:sz w:val="22"/>
            <w:szCs w:val="22"/>
            <w:lang w:val="en-US" w:eastAsia="en-US"/>
          </w:rPr>
          <w:tab/>
        </w:r>
        <w:r w:rsidRPr="008D0918">
          <w:rPr>
            <w:rStyle w:val="Hyperlink"/>
            <w:noProof/>
          </w:rPr>
          <w:t>Support CSI reporting in Msg3 triggered by the CSI request bit in the RAR grant, both for contention-based and non-contention-based random access.</w:t>
        </w:r>
      </w:hyperlink>
    </w:p>
    <w:p w14:paraId="104D9E78" w14:textId="7E98DFCE"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46" w:history="1">
        <w:r w:rsidRPr="008D0918">
          <w:rPr>
            <w:rStyle w:val="Hyperlink"/>
            <w:noProof/>
          </w:rPr>
          <w:t>Proposal 10</w:t>
        </w:r>
        <w:r>
          <w:rPr>
            <w:rFonts w:asciiTheme="minorHAnsi" w:eastAsiaTheme="minorEastAsia" w:hAnsiTheme="minorHAnsi" w:cstheme="minorBidi"/>
            <w:b w:val="0"/>
            <w:noProof/>
            <w:sz w:val="22"/>
            <w:szCs w:val="22"/>
            <w:lang w:val="en-US" w:eastAsia="en-US"/>
          </w:rPr>
          <w:tab/>
        </w:r>
        <w:r w:rsidRPr="008D0918">
          <w:rPr>
            <w:rStyle w:val="Hyperlink"/>
            <w:noProof/>
          </w:rPr>
          <w:t>For non-contention-based access, the UE reports CSI according to a specific CSIReportConfig conveyed in the RRCReconfigurationWithSync.</w:t>
        </w:r>
      </w:hyperlink>
    </w:p>
    <w:p w14:paraId="0CC51B84" w14:textId="2263388E" w:rsidR="00247153" w:rsidRDefault="0024715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4131347" w:history="1">
        <w:r w:rsidRPr="008D0918">
          <w:rPr>
            <w:rStyle w:val="Hyperlink"/>
            <w:noProof/>
          </w:rPr>
          <w:t>Proposal 11</w:t>
        </w:r>
        <w:r>
          <w:rPr>
            <w:rFonts w:asciiTheme="minorHAnsi" w:eastAsiaTheme="minorEastAsia" w:hAnsiTheme="minorHAnsi" w:cstheme="minorBidi"/>
            <w:b w:val="0"/>
            <w:noProof/>
            <w:sz w:val="22"/>
            <w:szCs w:val="22"/>
            <w:lang w:val="en-US" w:eastAsia="en-US"/>
          </w:rPr>
          <w:tab/>
        </w:r>
        <w:r w:rsidRPr="008D0918">
          <w:rPr>
            <w:rStyle w:val="Hyperlink"/>
            <w:noProof/>
          </w:rPr>
          <w:t>For contention-based access, the UE reports CSI according to a default CSI report configuration.</w:t>
        </w:r>
      </w:hyperlink>
    </w:p>
    <w:p w14:paraId="01AF3E08" w14:textId="68878412" w:rsidR="006E1C82" w:rsidRPr="00CE0424" w:rsidRDefault="006E1C82" w:rsidP="006E1C82">
      <w:pPr>
        <w:pStyle w:val="BodyText"/>
        <w:rPr>
          <w:b/>
          <w:bCs/>
        </w:rPr>
      </w:pPr>
      <w:r>
        <w:rPr>
          <w:b/>
          <w:bCs/>
          <w:lang w:val="en-US"/>
        </w:rPr>
        <w:fldChar w:fldCharType="end"/>
      </w:r>
      <w:r w:rsidRPr="00CE0424">
        <w:rPr>
          <w:b/>
          <w:bCs/>
        </w:rPr>
        <w:t xml:space="preserve"> </w:t>
      </w:r>
    </w:p>
    <w:p w14:paraId="67C05624" w14:textId="7267BDCF" w:rsidR="00C01F33" w:rsidRPr="00CE0424" w:rsidDel="00EB1965" w:rsidRDefault="00C01F33" w:rsidP="006E062C"/>
    <w:p w14:paraId="58B59BC9" w14:textId="6B6ACA10" w:rsidR="00F507D1" w:rsidRPr="00CE0424" w:rsidDel="00EB1965" w:rsidRDefault="00F507D1" w:rsidP="00CE0424">
      <w:pPr>
        <w:pStyle w:val="Heading1"/>
      </w:pPr>
      <w:bookmarkStart w:id="31" w:name="_In-sequence_SDU_delivery"/>
      <w:bookmarkEnd w:id="31"/>
      <w:r w:rsidRPr="00CE0424" w:rsidDel="00EB1965">
        <w:t>References</w:t>
      </w:r>
    </w:p>
    <w:p w14:paraId="29D20C43" w14:textId="713EF4B1" w:rsidR="004F17DB" w:rsidRDefault="004F17DB" w:rsidP="004F17DB">
      <w:pPr>
        <w:pStyle w:val="Reference"/>
      </w:pPr>
      <w:bookmarkStart w:id="32" w:name="_Ref4746959"/>
      <w:bookmarkStart w:id="33" w:name="_Ref174151459"/>
      <w:bookmarkStart w:id="34" w:name="_Ref189809556"/>
      <w:r>
        <w:t xml:space="preserve">3GPP TS 38.213, NR; </w:t>
      </w:r>
      <w:r w:rsidRPr="00D11F23">
        <w:t xml:space="preserve">Physical layer procedures for </w:t>
      </w:r>
      <w:r>
        <w:t>control, RAN#85, V15.7.0, September 2019</w:t>
      </w:r>
      <w:bookmarkEnd w:id="32"/>
    </w:p>
    <w:p w14:paraId="6C71A5B2" w14:textId="3F347F1D" w:rsidR="004F17DB" w:rsidRDefault="004F17DB" w:rsidP="004F17DB">
      <w:pPr>
        <w:pStyle w:val="Reference"/>
      </w:pPr>
      <w:bookmarkStart w:id="35" w:name="_Ref4753385"/>
      <w:r>
        <w:t xml:space="preserve">3GPP TS 36.133, </w:t>
      </w:r>
      <w:r w:rsidRPr="00354621">
        <w:t>Requirements for support of radio resource management</w:t>
      </w:r>
      <w:r>
        <w:t xml:space="preserve">, RAN#85, V15.7.0, </w:t>
      </w:r>
      <w:r w:rsidR="00140EEB">
        <w:t>September 2019</w:t>
      </w:r>
      <w:bookmarkEnd w:id="35"/>
    </w:p>
    <w:p w14:paraId="173E1141" w14:textId="74FF51A5" w:rsidR="004F17DB" w:rsidRPr="00CE0424" w:rsidRDefault="004F17DB" w:rsidP="004F17DB">
      <w:pPr>
        <w:pStyle w:val="Reference"/>
      </w:pPr>
      <w:bookmarkStart w:id="36" w:name="_Ref4753387"/>
      <w:bookmarkStart w:id="37" w:name="_Ref24125016"/>
      <w:r>
        <w:t xml:space="preserve">3GPP TS 36.331, </w:t>
      </w:r>
      <w:r w:rsidRPr="007D71DF">
        <w:t>Radio Resource Control (RRC) protocol specification</w:t>
      </w:r>
      <w:r>
        <w:t>, RAN#8</w:t>
      </w:r>
      <w:r w:rsidR="00140EEB">
        <w:t>5</w:t>
      </w:r>
      <w:r>
        <w:t>, V15.</w:t>
      </w:r>
      <w:r w:rsidR="00140EEB">
        <w:t>7</w:t>
      </w:r>
      <w:r>
        <w:t xml:space="preserve">.0, </w:t>
      </w:r>
      <w:bookmarkEnd w:id="36"/>
      <w:r w:rsidR="00140EEB">
        <w:t>September 2019</w:t>
      </w:r>
      <w:bookmarkEnd w:id="37"/>
    </w:p>
    <w:bookmarkEnd w:id="33"/>
    <w:bookmarkEnd w:id="34"/>
    <w:p w14:paraId="23D257BB" w14:textId="77777777" w:rsidR="003A7EF3" w:rsidRPr="00CE0424" w:rsidRDefault="003A7EF3" w:rsidP="00CE0424">
      <w:pPr>
        <w:pStyle w:val="BodyText"/>
      </w:pPr>
    </w:p>
    <w:sectPr w:rsidR="003A7EF3"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08AC0" w14:textId="77777777" w:rsidR="000E1230" w:rsidRDefault="000E1230">
      <w:r>
        <w:separator/>
      </w:r>
    </w:p>
  </w:endnote>
  <w:endnote w:type="continuationSeparator" w:id="0">
    <w:p w14:paraId="330E3CA6" w14:textId="77777777" w:rsidR="000E1230" w:rsidRDefault="000E1230">
      <w:r>
        <w:continuationSeparator/>
      </w:r>
    </w:p>
  </w:endnote>
  <w:endnote w:type="continuationNotice" w:id="1">
    <w:p w14:paraId="69DCB927" w14:textId="77777777" w:rsidR="000E1230" w:rsidRDefault="000E1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85008" w14:textId="77777777" w:rsidR="000E1230" w:rsidRDefault="000E123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0B34B" w14:textId="77777777" w:rsidR="000E1230" w:rsidRDefault="000E1230">
      <w:r>
        <w:separator/>
      </w:r>
    </w:p>
  </w:footnote>
  <w:footnote w:type="continuationSeparator" w:id="0">
    <w:p w14:paraId="58179DEF" w14:textId="77777777" w:rsidR="000E1230" w:rsidRDefault="000E1230">
      <w:r>
        <w:continuationSeparator/>
      </w:r>
    </w:p>
  </w:footnote>
  <w:footnote w:type="continuationNotice" w:id="1">
    <w:p w14:paraId="7155547F" w14:textId="77777777" w:rsidR="000E1230" w:rsidRDefault="000E1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62E49" w14:textId="77777777" w:rsidR="000E1230" w:rsidRDefault="000E12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990A79"/>
    <w:multiLevelType w:val="hybridMultilevel"/>
    <w:tmpl w:val="3430665C"/>
    <w:lvl w:ilvl="0" w:tplc="041D0001">
      <w:start w:val="2"/>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BC632CB"/>
    <w:multiLevelType w:val="hybridMultilevel"/>
    <w:tmpl w:val="B1965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4"/>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3"/>
  </w:num>
  <w:num w:numId="16">
    <w:abstractNumId w:val="20"/>
  </w:num>
  <w:num w:numId="17">
    <w:abstractNumId w:val="5"/>
  </w:num>
  <w:num w:numId="18">
    <w:abstractNumId w:val="6"/>
  </w:num>
  <w:num w:numId="19">
    <w:abstractNumId w:val="4"/>
  </w:num>
  <w:num w:numId="20">
    <w:abstractNumId w:val="22"/>
  </w:num>
  <w:num w:numId="21">
    <w:abstractNumId w:val="10"/>
  </w:num>
  <w:num w:numId="22">
    <w:abstractNumId w:val="21"/>
  </w:num>
  <w:num w:numId="23">
    <w:abstractNumId w:val="15"/>
  </w:num>
  <w:num w:numId="24">
    <w:abstractNumId w:val="23"/>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8"/>
    <w:rsid w:val="000006E1"/>
    <w:rsid w:val="00002A37"/>
    <w:rsid w:val="0000564C"/>
    <w:rsid w:val="00006446"/>
    <w:rsid w:val="00006896"/>
    <w:rsid w:val="00007CDC"/>
    <w:rsid w:val="00011B28"/>
    <w:rsid w:val="000151F9"/>
    <w:rsid w:val="00015573"/>
    <w:rsid w:val="00015D15"/>
    <w:rsid w:val="00016256"/>
    <w:rsid w:val="0002564D"/>
    <w:rsid w:val="00025ECA"/>
    <w:rsid w:val="000325B8"/>
    <w:rsid w:val="0003323D"/>
    <w:rsid w:val="00034C15"/>
    <w:rsid w:val="00036BA1"/>
    <w:rsid w:val="000400DC"/>
    <w:rsid w:val="000422E2"/>
    <w:rsid w:val="00042F22"/>
    <w:rsid w:val="000444EF"/>
    <w:rsid w:val="00052A07"/>
    <w:rsid w:val="000534E3"/>
    <w:rsid w:val="0005606A"/>
    <w:rsid w:val="00057117"/>
    <w:rsid w:val="000616E7"/>
    <w:rsid w:val="0006487E"/>
    <w:rsid w:val="00065E1A"/>
    <w:rsid w:val="00071980"/>
    <w:rsid w:val="00077E5F"/>
    <w:rsid w:val="0008036A"/>
    <w:rsid w:val="00081AE6"/>
    <w:rsid w:val="000855EB"/>
    <w:rsid w:val="00085B52"/>
    <w:rsid w:val="000866F2"/>
    <w:rsid w:val="0009009F"/>
    <w:rsid w:val="00091557"/>
    <w:rsid w:val="000924C1"/>
    <w:rsid w:val="000924F0"/>
    <w:rsid w:val="00093474"/>
    <w:rsid w:val="0009510F"/>
    <w:rsid w:val="00097025"/>
    <w:rsid w:val="000975AD"/>
    <w:rsid w:val="000A07C1"/>
    <w:rsid w:val="000A1B7B"/>
    <w:rsid w:val="000A56F2"/>
    <w:rsid w:val="000B2719"/>
    <w:rsid w:val="000B3A8F"/>
    <w:rsid w:val="000B4AB9"/>
    <w:rsid w:val="000B58C3"/>
    <w:rsid w:val="000B61E9"/>
    <w:rsid w:val="000C165A"/>
    <w:rsid w:val="000C2E19"/>
    <w:rsid w:val="000D0D07"/>
    <w:rsid w:val="000D1F41"/>
    <w:rsid w:val="000D41B2"/>
    <w:rsid w:val="000D4797"/>
    <w:rsid w:val="000E0527"/>
    <w:rsid w:val="000E1230"/>
    <w:rsid w:val="000E1E92"/>
    <w:rsid w:val="000F06D6"/>
    <w:rsid w:val="000F0EB1"/>
    <w:rsid w:val="000F1106"/>
    <w:rsid w:val="000F3BE9"/>
    <w:rsid w:val="000F3F6C"/>
    <w:rsid w:val="000F6DF3"/>
    <w:rsid w:val="001005FF"/>
    <w:rsid w:val="001042A7"/>
    <w:rsid w:val="001062FB"/>
    <w:rsid w:val="001063E6"/>
    <w:rsid w:val="00113CF4"/>
    <w:rsid w:val="001153EA"/>
    <w:rsid w:val="00115643"/>
    <w:rsid w:val="00116765"/>
    <w:rsid w:val="001219F5"/>
    <w:rsid w:val="00121A20"/>
    <w:rsid w:val="0012377F"/>
    <w:rsid w:val="00124314"/>
    <w:rsid w:val="00126B4A"/>
    <w:rsid w:val="00126E45"/>
    <w:rsid w:val="00132FD0"/>
    <w:rsid w:val="001344C0"/>
    <w:rsid w:val="001346FA"/>
    <w:rsid w:val="00135252"/>
    <w:rsid w:val="00137AB5"/>
    <w:rsid w:val="00137F0B"/>
    <w:rsid w:val="00140139"/>
    <w:rsid w:val="00140EEB"/>
    <w:rsid w:val="001510FA"/>
    <w:rsid w:val="00151E23"/>
    <w:rsid w:val="001526E0"/>
    <w:rsid w:val="001551B5"/>
    <w:rsid w:val="001659C1"/>
    <w:rsid w:val="00173A8E"/>
    <w:rsid w:val="00174166"/>
    <w:rsid w:val="0017502C"/>
    <w:rsid w:val="00175571"/>
    <w:rsid w:val="0018143F"/>
    <w:rsid w:val="00181FF8"/>
    <w:rsid w:val="00184338"/>
    <w:rsid w:val="00190AC1"/>
    <w:rsid w:val="00190E04"/>
    <w:rsid w:val="0019341A"/>
    <w:rsid w:val="00194BED"/>
    <w:rsid w:val="00197DF9"/>
    <w:rsid w:val="001A1987"/>
    <w:rsid w:val="001A2564"/>
    <w:rsid w:val="001A6173"/>
    <w:rsid w:val="001A6CBA"/>
    <w:rsid w:val="001B0D97"/>
    <w:rsid w:val="001B5A5D"/>
    <w:rsid w:val="001C1CE5"/>
    <w:rsid w:val="001C3D2A"/>
    <w:rsid w:val="001D2F13"/>
    <w:rsid w:val="001D51BA"/>
    <w:rsid w:val="001D53E7"/>
    <w:rsid w:val="001D6342"/>
    <w:rsid w:val="001D6D53"/>
    <w:rsid w:val="001E0FF1"/>
    <w:rsid w:val="001E41AB"/>
    <w:rsid w:val="001E58E2"/>
    <w:rsid w:val="001E7AED"/>
    <w:rsid w:val="001F3916"/>
    <w:rsid w:val="001F54C5"/>
    <w:rsid w:val="001F662C"/>
    <w:rsid w:val="001F7074"/>
    <w:rsid w:val="001F7ED6"/>
    <w:rsid w:val="00200490"/>
    <w:rsid w:val="00200AA9"/>
    <w:rsid w:val="00201F3A"/>
    <w:rsid w:val="00203F96"/>
    <w:rsid w:val="002069B2"/>
    <w:rsid w:val="00207FA3"/>
    <w:rsid w:val="002121B2"/>
    <w:rsid w:val="00213774"/>
    <w:rsid w:val="00214DA8"/>
    <w:rsid w:val="00215423"/>
    <w:rsid w:val="002158FA"/>
    <w:rsid w:val="00220600"/>
    <w:rsid w:val="002224DB"/>
    <w:rsid w:val="00223FCB"/>
    <w:rsid w:val="002252C3"/>
    <w:rsid w:val="0022544A"/>
    <w:rsid w:val="00225C54"/>
    <w:rsid w:val="00230765"/>
    <w:rsid w:val="00230D18"/>
    <w:rsid w:val="002319E4"/>
    <w:rsid w:val="00235632"/>
    <w:rsid w:val="00235872"/>
    <w:rsid w:val="00241559"/>
    <w:rsid w:val="002435B3"/>
    <w:rsid w:val="0024563A"/>
    <w:rsid w:val="002458EB"/>
    <w:rsid w:val="0024666F"/>
    <w:rsid w:val="00247153"/>
    <w:rsid w:val="002500C8"/>
    <w:rsid w:val="00252018"/>
    <w:rsid w:val="00252D58"/>
    <w:rsid w:val="00254DB4"/>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EBC"/>
    <w:rsid w:val="002C41E6"/>
    <w:rsid w:val="002D071A"/>
    <w:rsid w:val="002D34B2"/>
    <w:rsid w:val="002D48B0"/>
    <w:rsid w:val="002D5B37"/>
    <w:rsid w:val="002D7637"/>
    <w:rsid w:val="002E17F2"/>
    <w:rsid w:val="002E23CB"/>
    <w:rsid w:val="002E7CAE"/>
    <w:rsid w:val="002F2771"/>
    <w:rsid w:val="002F37A9"/>
    <w:rsid w:val="00301B4B"/>
    <w:rsid w:val="00301CE6"/>
    <w:rsid w:val="0030256B"/>
    <w:rsid w:val="0030501F"/>
    <w:rsid w:val="00305FAE"/>
    <w:rsid w:val="00307BA1"/>
    <w:rsid w:val="00311702"/>
    <w:rsid w:val="00311E82"/>
    <w:rsid w:val="00313370"/>
    <w:rsid w:val="00313FD6"/>
    <w:rsid w:val="003143BD"/>
    <w:rsid w:val="00315363"/>
    <w:rsid w:val="003203ED"/>
    <w:rsid w:val="00322C9F"/>
    <w:rsid w:val="003234F4"/>
    <w:rsid w:val="00324D23"/>
    <w:rsid w:val="00331751"/>
    <w:rsid w:val="00334579"/>
    <w:rsid w:val="00335858"/>
    <w:rsid w:val="00336BDA"/>
    <w:rsid w:val="003412AA"/>
    <w:rsid w:val="00342BD7"/>
    <w:rsid w:val="00346DB5"/>
    <w:rsid w:val="003477B1"/>
    <w:rsid w:val="0035325E"/>
    <w:rsid w:val="0035346F"/>
    <w:rsid w:val="00357380"/>
    <w:rsid w:val="0035783F"/>
    <w:rsid w:val="003602D9"/>
    <w:rsid w:val="003604CE"/>
    <w:rsid w:val="00370E47"/>
    <w:rsid w:val="003742AC"/>
    <w:rsid w:val="00377CE1"/>
    <w:rsid w:val="003859B9"/>
    <w:rsid w:val="00385BF0"/>
    <w:rsid w:val="003919E7"/>
    <w:rsid w:val="0039251F"/>
    <w:rsid w:val="003939FF"/>
    <w:rsid w:val="003A0C2D"/>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3E1"/>
    <w:rsid w:val="003C7806"/>
    <w:rsid w:val="003D109F"/>
    <w:rsid w:val="003D2478"/>
    <w:rsid w:val="003D3C45"/>
    <w:rsid w:val="003D5B1F"/>
    <w:rsid w:val="003E15FA"/>
    <w:rsid w:val="003E55E4"/>
    <w:rsid w:val="003E74E3"/>
    <w:rsid w:val="003F05C7"/>
    <w:rsid w:val="003F2CD4"/>
    <w:rsid w:val="003F6BBE"/>
    <w:rsid w:val="004000E8"/>
    <w:rsid w:val="00401CB3"/>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64C2"/>
    <w:rsid w:val="00457565"/>
    <w:rsid w:val="00457B71"/>
    <w:rsid w:val="00460A53"/>
    <w:rsid w:val="00460EB7"/>
    <w:rsid w:val="004669E2"/>
    <w:rsid w:val="00470716"/>
    <w:rsid w:val="00470C31"/>
    <w:rsid w:val="00471DE0"/>
    <w:rsid w:val="004734D0"/>
    <w:rsid w:val="0047556B"/>
    <w:rsid w:val="00477768"/>
    <w:rsid w:val="00492BC5"/>
    <w:rsid w:val="004964F1"/>
    <w:rsid w:val="004A16BC"/>
    <w:rsid w:val="004A2B94"/>
    <w:rsid w:val="004B6F6A"/>
    <w:rsid w:val="004B7C0C"/>
    <w:rsid w:val="004C3898"/>
    <w:rsid w:val="004C4333"/>
    <w:rsid w:val="004D36B1"/>
    <w:rsid w:val="004D7EBD"/>
    <w:rsid w:val="004E2680"/>
    <w:rsid w:val="004E28F9"/>
    <w:rsid w:val="004E462E"/>
    <w:rsid w:val="004E56DC"/>
    <w:rsid w:val="004E76F4"/>
    <w:rsid w:val="004F0B4E"/>
    <w:rsid w:val="004F0B6C"/>
    <w:rsid w:val="004F17DB"/>
    <w:rsid w:val="004F2078"/>
    <w:rsid w:val="004F4DA3"/>
    <w:rsid w:val="00506557"/>
    <w:rsid w:val="0050677A"/>
    <w:rsid w:val="005108D8"/>
    <w:rsid w:val="005116F9"/>
    <w:rsid w:val="005153A7"/>
    <w:rsid w:val="005219CF"/>
    <w:rsid w:val="00534B59"/>
    <w:rsid w:val="00536759"/>
    <w:rsid w:val="00537C62"/>
    <w:rsid w:val="00546970"/>
    <w:rsid w:val="005513CB"/>
    <w:rsid w:val="00554E19"/>
    <w:rsid w:val="0056003B"/>
    <w:rsid w:val="0056121F"/>
    <w:rsid w:val="00562A41"/>
    <w:rsid w:val="00572505"/>
    <w:rsid w:val="00582809"/>
    <w:rsid w:val="0058798C"/>
    <w:rsid w:val="00587F2E"/>
    <w:rsid w:val="005900FA"/>
    <w:rsid w:val="005935A4"/>
    <w:rsid w:val="005948C2"/>
    <w:rsid w:val="00595D54"/>
    <w:rsid w:val="00595DCA"/>
    <w:rsid w:val="0059779B"/>
    <w:rsid w:val="005A209A"/>
    <w:rsid w:val="005A20B0"/>
    <w:rsid w:val="005A662D"/>
    <w:rsid w:val="005B1409"/>
    <w:rsid w:val="005B35D7"/>
    <w:rsid w:val="005B392A"/>
    <w:rsid w:val="005B3AA3"/>
    <w:rsid w:val="005B4118"/>
    <w:rsid w:val="005B6F83"/>
    <w:rsid w:val="005C74FB"/>
    <w:rsid w:val="005D1602"/>
    <w:rsid w:val="005D21B6"/>
    <w:rsid w:val="005E385F"/>
    <w:rsid w:val="005E5B81"/>
    <w:rsid w:val="005F2CB1"/>
    <w:rsid w:val="005F3025"/>
    <w:rsid w:val="005F618C"/>
    <w:rsid w:val="005F70BD"/>
    <w:rsid w:val="0060283C"/>
    <w:rsid w:val="00604F14"/>
    <w:rsid w:val="00611B83"/>
    <w:rsid w:val="00613257"/>
    <w:rsid w:val="00620A71"/>
    <w:rsid w:val="00620D80"/>
    <w:rsid w:val="006234A6"/>
    <w:rsid w:val="006242E5"/>
    <w:rsid w:val="006246D2"/>
    <w:rsid w:val="006275DB"/>
    <w:rsid w:val="00630001"/>
    <w:rsid w:val="006311B3"/>
    <w:rsid w:val="00632618"/>
    <w:rsid w:val="0063284C"/>
    <w:rsid w:val="00635797"/>
    <w:rsid w:val="00636398"/>
    <w:rsid w:val="006368D3"/>
    <w:rsid w:val="006377EC"/>
    <w:rsid w:val="00640A5D"/>
    <w:rsid w:val="0064151F"/>
    <w:rsid w:val="00641533"/>
    <w:rsid w:val="0064208D"/>
    <w:rsid w:val="00643475"/>
    <w:rsid w:val="0064396A"/>
    <w:rsid w:val="0064624E"/>
    <w:rsid w:val="00650AB9"/>
    <w:rsid w:val="00655733"/>
    <w:rsid w:val="00655ACD"/>
    <w:rsid w:val="00656A92"/>
    <w:rsid w:val="00656DDE"/>
    <w:rsid w:val="0065717F"/>
    <w:rsid w:val="0066011D"/>
    <w:rsid w:val="006607C0"/>
    <w:rsid w:val="006613A6"/>
    <w:rsid w:val="00661966"/>
    <w:rsid w:val="00662758"/>
    <w:rsid w:val="006627A2"/>
    <w:rsid w:val="006634E6"/>
    <w:rsid w:val="006655EE"/>
    <w:rsid w:val="00666F4D"/>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335"/>
    <w:rsid w:val="006A5E28"/>
    <w:rsid w:val="006A697B"/>
    <w:rsid w:val="006A7AFF"/>
    <w:rsid w:val="006B1816"/>
    <w:rsid w:val="006B2099"/>
    <w:rsid w:val="006B50CF"/>
    <w:rsid w:val="006C03B8"/>
    <w:rsid w:val="006C531D"/>
    <w:rsid w:val="006C5EC9"/>
    <w:rsid w:val="006C6059"/>
    <w:rsid w:val="006C7522"/>
    <w:rsid w:val="006D6F08"/>
    <w:rsid w:val="006E062C"/>
    <w:rsid w:val="006E1C82"/>
    <w:rsid w:val="006E28B7"/>
    <w:rsid w:val="006E2A9B"/>
    <w:rsid w:val="006E3310"/>
    <w:rsid w:val="006E4E39"/>
    <w:rsid w:val="006E565E"/>
    <w:rsid w:val="006E673D"/>
    <w:rsid w:val="006E7D3B"/>
    <w:rsid w:val="006F0F57"/>
    <w:rsid w:val="006F1B70"/>
    <w:rsid w:val="006F318A"/>
    <w:rsid w:val="006F341D"/>
    <w:rsid w:val="006F3CDE"/>
    <w:rsid w:val="006F58D4"/>
    <w:rsid w:val="006F6582"/>
    <w:rsid w:val="0070346E"/>
    <w:rsid w:val="00703848"/>
    <w:rsid w:val="00704EDB"/>
    <w:rsid w:val="00706101"/>
    <w:rsid w:val="00707072"/>
    <w:rsid w:val="00707D61"/>
    <w:rsid w:val="00707DEF"/>
    <w:rsid w:val="00710BBC"/>
    <w:rsid w:val="00710D70"/>
    <w:rsid w:val="00710F76"/>
    <w:rsid w:val="00712287"/>
    <w:rsid w:val="00712772"/>
    <w:rsid w:val="007148D3"/>
    <w:rsid w:val="00715B9A"/>
    <w:rsid w:val="007257D0"/>
    <w:rsid w:val="00726EA6"/>
    <w:rsid w:val="00727157"/>
    <w:rsid w:val="00727208"/>
    <w:rsid w:val="00727680"/>
    <w:rsid w:val="007348B1"/>
    <w:rsid w:val="007362A6"/>
    <w:rsid w:val="00736D7D"/>
    <w:rsid w:val="00740E58"/>
    <w:rsid w:val="007445A0"/>
    <w:rsid w:val="0074524B"/>
    <w:rsid w:val="00747D8B"/>
    <w:rsid w:val="00751228"/>
    <w:rsid w:val="007571E1"/>
    <w:rsid w:val="00757312"/>
    <w:rsid w:val="007604B2"/>
    <w:rsid w:val="00765281"/>
    <w:rsid w:val="00766BAD"/>
    <w:rsid w:val="007729A2"/>
    <w:rsid w:val="007755F2"/>
    <w:rsid w:val="00776971"/>
    <w:rsid w:val="00780A80"/>
    <w:rsid w:val="0078177E"/>
    <w:rsid w:val="0078304C"/>
    <w:rsid w:val="0078310C"/>
    <w:rsid w:val="00783673"/>
    <w:rsid w:val="00784770"/>
    <w:rsid w:val="00785490"/>
    <w:rsid w:val="00791A29"/>
    <w:rsid w:val="007925EA"/>
    <w:rsid w:val="00792923"/>
    <w:rsid w:val="00793CD8"/>
    <w:rsid w:val="00795C92"/>
    <w:rsid w:val="00796231"/>
    <w:rsid w:val="007A1CB3"/>
    <w:rsid w:val="007A306F"/>
    <w:rsid w:val="007A43A6"/>
    <w:rsid w:val="007A4C3C"/>
    <w:rsid w:val="007A58A6"/>
    <w:rsid w:val="007B08F1"/>
    <w:rsid w:val="007B2628"/>
    <w:rsid w:val="007B3D2D"/>
    <w:rsid w:val="007B50AE"/>
    <w:rsid w:val="007B51DF"/>
    <w:rsid w:val="007B5CCE"/>
    <w:rsid w:val="007C05DD"/>
    <w:rsid w:val="007C3D18"/>
    <w:rsid w:val="007C57A9"/>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CE9"/>
    <w:rsid w:val="00827D6F"/>
    <w:rsid w:val="00832A91"/>
    <w:rsid w:val="008376AC"/>
    <w:rsid w:val="00837B07"/>
    <w:rsid w:val="008434E8"/>
    <w:rsid w:val="008444E8"/>
    <w:rsid w:val="00844E80"/>
    <w:rsid w:val="00846FE7"/>
    <w:rsid w:val="00856911"/>
    <w:rsid w:val="008677FD"/>
    <w:rsid w:val="008706D4"/>
    <w:rsid w:val="00870F8A"/>
    <w:rsid w:val="008719A4"/>
    <w:rsid w:val="00871D23"/>
    <w:rsid w:val="00874312"/>
    <w:rsid w:val="0087437C"/>
    <w:rsid w:val="008757EA"/>
    <w:rsid w:val="00875CD7"/>
    <w:rsid w:val="00876B4D"/>
    <w:rsid w:val="00877F18"/>
    <w:rsid w:val="008941E3"/>
    <w:rsid w:val="00894398"/>
    <w:rsid w:val="00894A88"/>
    <w:rsid w:val="00895386"/>
    <w:rsid w:val="008A21FF"/>
    <w:rsid w:val="008A2CE2"/>
    <w:rsid w:val="008A30AC"/>
    <w:rsid w:val="008A44B8"/>
    <w:rsid w:val="008A51A8"/>
    <w:rsid w:val="008A54C7"/>
    <w:rsid w:val="008A77D8"/>
    <w:rsid w:val="008B0483"/>
    <w:rsid w:val="008B120C"/>
    <w:rsid w:val="008B4F36"/>
    <w:rsid w:val="008B51A0"/>
    <w:rsid w:val="008B592A"/>
    <w:rsid w:val="008B7B5C"/>
    <w:rsid w:val="008C0C99"/>
    <w:rsid w:val="008C0F05"/>
    <w:rsid w:val="008C2017"/>
    <w:rsid w:val="008C4958"/>
    <w:rsid w:val="008C4BAA"/>
    <w:rsid w:val="008C6AE8"/>
    <w:rsid w:val="008C74C2"/>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4E2F"/>
    <w:rsid w:val="00916079"/>
    <w:rsid w:val="00917CE9"/>
    <w:rsid w:val="00920BF2"/>
    <w:rsid w:val="00922010"/>
    <w:rsid w:val="00927E11"/>
    <w:rsid w:val="00931BD9"/>
    <w:rsid w:val="009368F3"/>
    <w:rsid w:val="00941636"/>
    <w:rsid w:val="00943742"/>
    <w:rsid w:val="00945C05"/>
    <w:rsid w:val="00946945"/>
    <w:rsid w:val="00946C34"/>
    <w:rsid w:val="00947713"/>
    <w:rsid w:val="00950DE7"/>
    <w:rsid w:val="00953920"/>
    <w:rsid w:val="00953D47"/>
    <w:rsid w:val="00954ABF"/>
    <w:rsid w:val="009557A4"/>
    <w:rsid w:val="0095681E"/>
    <w:rsid w:val="00957128"/>
    <w:rsid w:val="009572D4"/>
    <w:rsid w:val="0095750C"/>
    <w:rsid w:val="00961921"/>
    <w:rsid w:val="0096430A"/>
    <w:rsid w:val="0096554B"/>
    <w:rsid w:val="0096584A"/>
    <w:rsid w:val="00971F08"/>
    <w:rsid w:val="0097603D"/>
    <w:rsid w:val="00976949"/>
    <w:rsid w:val="00980477"/>
    <w:rsid w:val="00980B50"/>
    <w:rsid w:val="00985253"/>
    <w:rsid w:val="009853B3"/>
    <w:rsid w:val="00990630"/>
    <w:rsid w:val="00991761"/>
    <w:rsid w:val="00993D99"/>
    <w:rsid w:val="00994964"/>
    <w:rsid w:val="00994DCA"/>
    <w:rsid w:val="009960EC"/>
    <w:rsid w:val="009970DD"/>
    <w:rsid w:val="009A0FBA"/>
    <w:rsid w:val="009A1601"/>
    <w:rsid w:val="009A3BB6"/>
    <w:rsid w:val="009A462D"/>
    <w:rsid w:val="009A5CBA"/>
    <w:rsid w:val="009A7D8F"/>
    <w:rsid w:val="009B1F30"/>
    <w:rsid w:val="009B3AC2"/>
    <w:rsid w:val="009B4DF4"/>
    <w:rsid w:val="009B564E"/>
    <w:rsid w:val="009B7E87"/>
    <w:rsid w:val="009C0169"/>
    <w:rsid w:val="009C1605"/>
    <w:rsid w:val="009C403E"/>
    <w:rsid w:val="009C52E2"/>
    <w:rsid w:val="009D4FF0"/>
    <w:rsid w:val="009D703C"/>
    <w:rsid w:val="009D718F"/>
    <w:rsid w:val="009E068F"/>
    <w:rsid w:val="009E14E0"/>
    <w:rsid w:val="009E35DB"/>
    <w:rsid w:val="009E47A3"/>
    <w:rsid w:val="009E58A2"/>
    <w:rsid w:val="009F08F3"/>
    <w:rsid w:val="009F344F"/>
    <w:rsid w:val="00A02D4A"/>
    <w:rsid w:val="00A031D8"/>
    <w:rsid w:val="00A048A8"/>
    <w:rsid w:val="00A04F49"/>
    <w:rsid w:val="00A13E54"/>
    <w:rsid w:val="00A17F63"/>
    <w:rsid w:val="00A2193B"/>
    <w:rsid w:val="00A2351A"/>
    <w:rsid w:val="00A264A9"/>
    <w:rsid w:val="00A26DCF"/>
    <w:rsid w:val="00A27785"/>
    <w:rsid w:val="00A27E88"/>
    <w:rsid w:val="00A30187"/>
    <w:rsid w:val="00A3448A"/>
    <w:rsid w:val="00A36297"/>
    <w:rsid w:val="00A41E2B"/>
    <w:rsid w:val="00A45B74"/>
    <w:rsid w:val="00A50BBB"/>
    <w:rsid w:val="00A50F6C"/>
    <w:rsid w:val="00A52E1D"/>
    <w:rsid w:val="00A559FA"/>
    <w:rsid w:val="00A61499"/>
    <w:rsid w:val="00A62A77"/>
    <w:rsid w:val="00A63483"/>
    <w:rsid w:val="00A657D7"/>
    <w:rsid w:val="00A65B5B"/>
    <w:rsid w:val="00A660AC"/>
    <w:rsid w:val="00A67E6C"/>
    <w:rsid w:val="00A71B99"/>
    <w:rsid w:val="00A739D0"/>
    <w:rsid w:val="00A761D4"/>
    <w:rsid w:val="00A77EC4"/>
    <w:rsid w:val="00A91D2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A75"/>
    <w:rsid w:val="00AD2ED0"/>
    <w:rsid w:val="00AD3F94"/>
    <w:rsid w:val="00AD4A5A"/>
    <w:rsid w:val="00AD5178"/>
    <w:rsid w:val="00AE27AC"/>
    <w:rsid w:val="00AE40E0"/>
    <w:rsid w:val="00AE4DBA"/>
    <w:rsid w:val="00AE4F07"/>
    <w:rsid w:val="00AF1C5D"/>
    <w:rsid w:val="00AF42D7"/>
    <w:rsid w:val="00AF4F4F"/>
    <w:rsid w:val="00AF5C52"/>
    <w:rsid w:val="00B006FE"/>
    <w:rsid w:val="00B007CB"/>
    <w:rsid w:val="00B02AA9"/>
    <w:rsid w:val="00B02FA3"/>
    <w:rsid w:val="00B03622"/>
    <w:rsid w:val="00B05084"/>
    <w:rsid w:val="00B057C1"/>
    <w:rsid w:val="00B0615D"/>
    <w:rsid w:val="00B157F9"/>
    <w:rsid w:val="00B20256"/>
    <w:rsid w:val="00B2092B"/>
    <w:rsid w:val="00B20D09"/>
    <w:rsid w:val="00B23BBE"/>
    <w:rsid w:val="00B2763F"/>
    <w:rsid w:val="00B27AAC"/>
    <w:rsid w:val="00B30929"/>
    <w:rsid w:val="00B33294"/>
    <w:rsid w:val="00B372AA"/>
    <w:rsid w:val="00B37782"/>
    <w:rsid w:val="00B379A9"/>
    <w:rsid w:val="00B40445"/>
    <w:rsid w:val="00B409E0"/>
    <w:rsid w:val="00B41888"/>
    <w:rsid w:val="00B45A52"/>
    <w:rsid w:val="00B46175"/>
    <w:rsid w:val="00B548B7"/>
    <w:rsid w:val="00B6411E"/>
    <w:rsid w:val="00B660D6"/>
    <w:rsid w:val="00B664C7"/>
    <w:rsid w:val="00B70BD4"/>
    <w:rsid w:val="00B739F6"/>
    <w:rsid w:val="00B81A6C"/>
    <w:rsid w:val="00B85DE5"/>
    <w:rsid w:val="00B90F73"/>
    <w:rsid w:val="00B93B59"/>
    <w:rsid w:val="00B9406A"/>
    <w:rsid w:val="00BA2280"/>
    <w:rsid w:val="00BA271B"/>
    <w:rsid w:val="00BA2A08"/>
    <w:rsid w:val="00BA56D2"/>
    <w:rsid w:val="00BA587B"/>
    <w:rsid w:val="00BA76E0"/>
    <w:rsid w:val="00BB2A25"/>
    <w:rsid w:val="00BB51E9"/>
    <w:rsid w:val="00BC0BC2"/>
    <w:rsid w:val="00BC0FDC"/>
    <w:rsid w:val="00BC3053"/>
    <w:rsid w:val="00BC4610"/>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CB3"/>
    <w:rsid w:val="00C229A0"/>
    <w:rsid w:val="00C22E32"/>
    <w:rsid w:val="00C259AD"/>
    <w:rsid w:val="00C279B5"/>
    <w:rsid w:val="00C27C45"/>
    <w:rsid w:val="00C30222"/>
    <w:rsid w:val="00C36B5D"/>
    <w:rsid w:val="00C3719D"/>
    <w:rsid w:val="00C37CB2"/>
    <w:rsid w:val="00C440A8"/>
    <w:rsid w:val="00C473A5"/>
    <w:rsid w:val="00C54995"/>
    <w:rsid w:val="00C54D41"/>
    <w:rsid w:val="00C57B4D"/>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0457"/>
    <w:rsid w:val="00CB1F63"/>
    <w:rsid w:val="00CB5DF2"/>
    <w:rsid w:val="00CB7170"/>
    <w:rsid w:val="00CC040E"/>
    <w:rsid w:val="00CC111F"/>
    <w:rsid w:val="00CC2011"/>
    <w:rsid w:val="00CC3EA0"/>
    <w:rsid w:val="00CC7B45"/>
    <w:rsid w:val="00CD1188"/>
    <w:rsid w:val="00CD2ED1"/>
    <w:rsid w:val="00CD337B"/>
    <w:rsid w:val="00CD5A11"/>
    <w:rsid w:val="00CE0424"/>
    <w:rsid w:val="00CE2BB0"/>
    <w:rsid w:val="00CE7561"/>
    <w:rsid w:val="00CF1354"/>
    <w:rsid w:val="00CF3B1F"/>
    <w:rsid w:val="00CF3BF6"/>
    <w:rsid w:val="00CF625B"/>
    <w:rsid w:val="00CF687E"/>
    <w:rsid w:val="00D0349B"/>
    <w:rsid w:val="00D10076"/>
    <w:rsid w:val="00D10249"/>
    <w:rsid w:val="00D115C3"/>
    <w:rsid w:val="00D11897"/>
    <w:rsid w:val="00D13135"/>
    <w:rsid w:val="00D13E4E"/>
    <w:rsid w:val="00D21223"/>
    <w:rsid w:val="00D21B81"/>
    <w:rsid w:val="00D239A7"/>
    <w:rsid w:val="00D23F47"/>
    <w:rsid w:val="00D36E71"/>
    <w:rsid w:val="00D37D87"/>
    <w:rsid w:val="00D40B33"/>
    <w:rsid w:val="00D4318F"/>
    <w:rsid w:val="00D438BF"/>
    <w:rsid w:val="00D440F8"/>
    <w:rsid w:val="00D53815"/>
    <w:rsid w:val="00D546FF"/>
    <w:rsid w:val="00D55AD5"/>
    <w:rsid w:val="00D576CA"/>
    <w:rsid w:val="00D610E1"/>
    <w:rsid w:val="00D61AF5"/>
    <w:rsid w:val="00D65029"/>
    <w:rsid w:val="00D652B5"/>
    <w:rsid w:val="00D66155"/>
    <w:rsid w:val="00D708B0"/>
    <w:rsid w:val="00D77B1D"/>
    <w:rsid w:val="00D8021F"/>
    <w:rsid w:val="00D80383"/>
    <w:rsid w:val="00D823C6"/>
    <w:rsid w:val="00D8327F"/>
    <w:rsid w:val="00D836FE"/>
    <w:rsid w:val="00D86CA3"/>
    <w:rsid w:val="00D871CE"/>
    <w:rsid w:val="00D91738"/>
    <w:rsid w:val="00D9196D"/>
    <w:rsid w:val="00D92982"/>
    <w:rsid w:val="00DA305E"/>
    <w:rsid w:val="00DA5417"/>
    <w:rsid w:val="00DA56E8"/>
    <w:rsid w:val="00DB0A9F"/>
    <w:rsid w:val="00DB377D"/>
    <w:rsid w:val="00DB4EB9"/>
    <w:rsid w:val="00DC2D36"/>
    <w:rsid w:val="00DC3D18"/>
    <w:rsid w:val="00DC53EF"/>
    <w:rsid w:val="00DE5608"/>
    <w:rsid w:val="00DE58D0"/>
    <w:rsid w:val="00DE654F"/>
    <w:rsid w:val="00DF0B6E"/>
    <w:rsid w:val="00DF15E0"/>
    <w:rsid w:val="00DF37A0"/>
    <w:rsid w:val="00E00EB8"/>
    <w:rsid w:val="00E077CC"/>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37EB1"/>
    <w:rsid w:val="00E446F1"/>
    <w:rsid w:val="00E46886"/>
    <w:rsid w:val="00E47AEF"/>
    <w:rsid w:val="00E53B75"/>
    <w:rsid w:val="00E54E3B"/>
    <w:rsid w:val="00E57565"/>
    <w:rsid w:val="00E63838"/>
    <w:rsid w:val="00E64434"/>
    <w:rsid w:val="00E678D0"/>
    <w:rsid w:val="00E67C51"/>
    <w:rsid w:val="00E72EFC"/>
    <w:rsid w:val="00E758EC"/>
    <w:rsid w:val="00E820B9"/>
    <w:rsid w:val="00E8234C"/>
    <w:rsid w:val="00E83AA9"/>
    <w:rsid w:val="00E85928"/>
    <w:rsid w:val="00E87822"/>
    <w:rsid w:val="00E90395"/>
    <w:rsid w:val="00E90E49"/>
    <w:rsid w:val="00E917F9"/>
    <w:rsid w:val="00E9291C"/>
    <w:rsid w:val="00E93FFE"/>
    <w:rsid w:val="00E94F8A"/>
    <w:rsid w:val="00EA7A41"/>
    <w:rsid w:val="00EB077B"/>
    <w:rsid w:val="00EB1965"/>
    <w:rsid w:val="00EB4EA2"/>
    <w:rsid w:val="00EB6656"/>
    <w:rsid w:val="00EB7464"/>
    <w:rsid w:val="00EC24D5"/>
    <w:rsid w:val="00EC27C6"/>
    <w:rsid w:val="00EC4207"/>
    <w:rsid w:val="00EC5653"/>
    <w:rsid w:val="00EC6EF7"/>
    <w:rsid w:val="00EC71CE"/>
    <w:rsid w:val="00ED1006"/>
    <w:rsid w:val="00EF18FE"/>
    <w:rsid w:val="00EF5787"/>
    <w:rsid w:val="00EF60D0"/>
    <w:rsid w:val="00F008EC"/>
    <w:rsid w:val="00F010CB"/>
    <w:rsid w:val="00F0528D"/>
    <w:rsid w:val="00F06C67"/>
    <w:rsid w:val="00F06DFD"/>
    <w:rsid w:val="00F071D1"/>
    <w:rsid w:val="00F07533"/>
    <w:rsid w:val="00F10629"/>
    <w:rsid w:val="00F15FA5"/>
    <w:rsid w:val="00F209B7"/>
    <w:rsid w:val="00F223D8"/>
    <w:rsid w:val="00F2376F"/>
    <w:rsid w:val="00F243D8"/>
    <w:rsid w:val="00F30828"/>
    <w:rsid w:val="00F313D6"/>
    <w:rsid w:val="00F321DE"/>
    <w:rsid w:val="00F40F0C"/>
    <w:rsid w:val="00F4766C"/>
    <w:rsid w:val="00F5060E"/>
    <w:rsid w:val="00F507D1"/>
    <w:rsid w:val="00F516F1"/>
    <w:rsid w:val="00F519CE"/>
    <w:rsid w:val="00F51ADA"/>
    <w:rsid w:val="00F546C7"/>
    <w:rsid w:val="00F60203"/>
    <w:rsid w:val="00F607C5"/>
    <w:rsid w:val="00F60DEA"/>
    <w:rsid w:val="00F6302A"/>
    <w:rsid w:val="00F63950"/>
    <w:rsid w:val="00F64C2B"/>
    <w:rsid w:val="00F651BE"/>
    <w:rsid w:val="00F67F53"/>
    <w:rsid w:val="00F703BE"/>
    <w:rsid w:val="00F71F69"/>
    <w:rsid w:val="00F72B72"/>
    <w:rsid w:val="00F74BB9"/>
    <w:rsid w:val="00F75582"/>
    <w:rsid w:val="00F75FB4"/>
    <w:rsid w:val="00F76EFA"/>
    <w:rsid w:val="00F804BE"/>
    <w:rsid w:val="00F817CE"/>
    <w:rsid w:val="00F8456C"/>
    <w:rsid w:val="00F859D8"/>
    <w:rsid w:val="00F868F5"/>
    <w:rsid w:val="00F9056A"/>
    <w:rsid w:val="00F90F8D"/>
    <w:rsid w:val="00F92193"/>
    <w:rsid w:val="00F92782"/>
    <w:rsid w:val="00F93AA9"/>
    <w:rsid w:val="00F96985"/>
    <w:rsid w:val="00F97838"/>
    <w:rsid w:val="00FA2BB3"/>
    <w:rsid w:val="00FA4A6F"/>
    <w:rsid w:val="00FB4C80"/>
    <w:rsid w:val="00FB6A6A"/>
    <w:rsid w:val="00FC7429"/>
    <w:rsid w:val="00FD07F6"/>
    <w:rsid w:val="00FD1B8C"/>
    <w:rsid w:val="00FD1EC8"/>
    <w:rsid w:val="00FD47ED"/>
    <w:rsid w:val="00FD74DB"/>
    <w:rsid w:val="00FD7660"/>
    <w:rsid w:val="00FE0655"/>
    <w:rsid w:val="00FE1153"/>
    <w:rsid w:val="00FE2365"/>
    <w:rsid w:val="00FE37D7"/>
    <w:rsid w:val="00FE4C7B"/>
    <w:rsid w:val="00FE7336"/>
    <w:rsid w:val="00FE787C"/>
    <w:rsid w:val="00FF19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F71B23A"/>
  <w15:chartTrackingRefBased/>
  <w15:docId w15:val="{333E08D3-157C-4856-ACF7-A6335D87F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715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471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47153"/>
    <w:pPr>
      <w:pBdr>
        <w:top w:val="none" w:sz="0" w:space="0" w:color="auto"/>
      </w:pBdr>
      <w:spacing w:before="180"/>
      <w:outlineLvl w:val="1"/>
    </w:pPr>
    <w:rPr>
      <w:sz w:val="32"/>
    </w:rPr>
  </w:style>
  <w:style w:type="paragraph" w:styleId="Heading3">
    <w:name w:val="heading 3"/>
    <w:basedOn w:val="Heading2"/>
    <w:next w:val="Normal"/>
    <w:link w:val="Heading3Char"/>
    <w:qFormat/>
    <w:rsid w:val="00247153"/>
    <w:pPr>
      <w:spacing w:before="120"/>
      <w:outlineLvl w:val="2"/>
    </w:pPr>
    <w:rPr>
      <w:sz w:val="28"/>
    </w:rPr>
  </w:style>
  <w:style w:type="paragraph" w:styleId="Heading4">
    <w:name w:val="heading 4"/>
    <w:basedOn w:val="Heading3"/>
    <w:next w:val="Normal"/>
    <w:link w:val="Heading4Char"/>
    <w:qFormat/>
    <w:rsid w:val="00247153"/>
    <w:pPr>
      <w:ind w:left="1418" w:hanging="1418"/>
      <w:outlineLvl w:val="3"/>
    </w:pPr>
    <w:rPr>
      <w:sz w:val="24"/>
    </w:rPr>
  </w:style>
  <w:style w:type="paragraph" w:styleId="Heading5">
    <w:name w:val="heading 5"/>
    <w:basedOn w:val="Heading4"/>
    <w:next w:val="Normal"/>
    <w:link w:val="Heading5Char"/>
    <w:qFormat/>
    <w:rsid w:val="00247153"/>
    <w:pPr>
      <w:ind w:left="1701" w:hanging="1701"/>
      <w:outlineLvl w:val="4"/>
    </w:pPr>
    <w:rPr>
      <w:sz w:val="22"/>
    </w:rPr>
  </w:style>
  <w:style w:type="paragraph" w:styleId="Heading6">
    <w:name w:val="heading 6"/>
    <w:basedOn w:val="H6"/>
    <w:next w:val="Normal"/>
    <w:link w:val="Heading6Char"/>
    <w:qFormat/>
    <w:rsid w:val="00247153"/>
    <w:pPr>
      <w:outlineLvl w:val="5"/>
    </w:pPr>
  </w:style>
  <w:style w:type="paragraph" w:styleId="Heading7">
    <w:name w:val="heading 7"/>
    <w:basedOn w:val="H6"/>
    <w:next w:val="Normal"/>
    <w:link w:val="Heading7Char"/>
    <w:qFormat/>
    <w:rsid w:val="00247153"/>
    <w:pPr>
      <w:outlineLvl w:val="6"/>
    </w:pPr>
  </w:style>
  <w:style w:type="paragraph" w:styleId="Heading8">
    <w:name w:val="heading 8"/>
    <w:basedOn w:val="Heading1"/>
    <w:next w:val="Normal"/>
    <w:link w:val="Heading8Char"/>
    <w:qFormat/>
    <w:rsid w:val="00247153"/>
    <w:pPr>
      <w:ind w:left="0" w:firstLine="0"/>
      <w:outlineLvl w:val="7"/>
    </w:pPr>
  </w:style>
  <w:style w:type="paragraph" w:styleId="Heading9">
    <w:name w:val="heading 9"/>
    <w:basedOn w:val="Heading8"/>
    <w:next w:val="Normal"/>
    <w:link w:val="Heading9Char"/>
    <w:qFormat/>
    <w:rsid w:val="00247153"/>
    <w:pPr>
      <w:outlineLvl w:val="8"/>
    </w:pPr>
  </w:style>
  <w:style w:type="character" w:default="1" w:styleId="DefaultParagraphFont">
    <w:name w:val="Default Paragraph Font"/>
    <w:uiPriority w:val="1"/>
    <w:semiHidden/>
    <w:unhideWhenUsed/>
    <w:rsid w:val="002471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153"/>
  </w:style>
  <w:style w:type="paragraph" w:styleId="TOC8">
    <w:name w:val="toc 8"/>
    <w:basedOn w:val="TOC1"/>
    <w:uiPriority w:val="39"/>
    <w:rsid w:val="00247153"/>
    <w:pPr>
      <w:spacing w:before="180"/>
      <w:ind w:left="2693" w:hanging="2693"/>
    </w:pPr>
    <w:rPr>
      <w:b/>
    </w:rPr>
  </w:style>
  <w:style w:type="paragraph" w:styleId="TOC1">
    <w:name w:val="toc 1"/>
    <w:uiPriority w:val="39"/>
    <w:rsid w:val="002471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47153"/>
    <w:pPr>
      <w:keepNext/>
      <w:keepLines/>
      <w:spacing w:before="180"/>
      <w:jc w:val="center"/>
    </w:pPr>
  </w:style>
  <w:style w:type="paragraph" w:styleId="Caption">
    <w:name w:val="caption"/>
    <w:basedOn w:val="Normal"/>
    <w:next w:val="Normal"/>
    <w:qFormat/>
    <w:rsid w:val="00247153"/>
    <w:pPr>
      <w:spacing w:before="120" w:after="120"/>
    </w:pPr>
    <w:rPr>
      <w:b/>
      <w:lang w:eastAsia="en-GB"/>
    </w:rPr>
  </w:style>
  <w:style w:type="paragraph" w:styleId="TOC5">
    <w:name w:val="toc 5"/>
    <w:basedOn w:val="TOC4"/>
    <w:uiPriority w:val="39"/>
    <w:rsid w:val="00247153"/>
    <w:pPr>
      <w:ind w:left="1701" w:hanging="1701"/>
    </w:pPr>
  </w:style>
  <w:style w:type="paragraph" w:styleId="TOC4">
    <w:name w:val="toc 4"/>
    <w:basedOn w:val="TOC3"/>
    <w:uiPriority w:val="39"/>
    <w:rsid w:val="00247153"/>
    <w:pPr>
      <w:ind w:left="1418" w:hanging="1418"/>
    </w:pPr>
  </w:style>
  <w:style w:type="paragraph" w:styleId="TOC3">
    <w:name w:val="toc 3"/>
    <w:basedOn w:val="TOC2"/>
    <w:uiPriority w:val="39"/>
    <w:rsid w:val="00247153"/>
    <w:pPr>
      <w:ind w:left="1134" w:hanging="1134"/>
    </w:pPr>
  </w:style>
  <w:style w:type="paragraph" w:styleId="TOC2">
    <w:name w:val="toc 2"/>
    <w:basedOn w:val="TOC1"/>
    <w:uiPriority w:val="39"/>
    <w:rsid w:val="00247153"/>
    <w:pPr>
      <w:keepNext w:val="0"/>
      <w:spacing w:before="0"/>
      <w:ind w:left="851" w:hanging="851"/>
    </w:pPr>
    <w:rPr>
      <w:sz w:val="20"/>
    </w:rPr>
  </w:style>
  <w:style w:type="paragraph" w:styleId="Index2">
    <w:name w:val="index 2"/>
    <w:basedOn w:val="Index1"/>
    <w:rsid w:val="00247153"/>
    <w:pPr>
      <w:ind w:left="284"/>
    </w:pPr>
  </w:style>
  <w:style w:type="paragraph" w:styleId="Index1">
    <w:name w:val="index 1"/>
    <w:basedOn w:val="Normal"/>
    <w:rsid w:val="00247153"/>
    <w:pPr>
      <w:keepLines/>
      <w:spacing w:after="0"/>
    </w:pPr>
  </w:style>
  <w:style w:type="paragraph" w:styleId="DocumentMap">
    <w:name w:val="Document Map"/>
    <w:basedOn w:val="Normal"/>
    <w:link w:val="DocumentMapChar"/>
    <w:rsid w:val="00247153"/>
    <w:pPr>
      <w:shd w:val="clear" w:color="auto" w:fill="000080"/>
    </w:pPr>
    <w:rPr>
      <w:rFonts w:ascii="Tahoma" w:hAnsi="Tahoma" w:cs="Tahoma"/>
    </w:rPr>
  </w:style>
  <w:style w:type="paragraph" w:styleId="ListNumber2">
    <w:name w:val="List Number 2"/>
    <w:basedOn w:val="ListNumber"/>
    <w:rsid w:val="00247153"/>
    <w:pPr>
      <w:numPr>
        <w:numId w:val="22"/>
      </w:numPr>
    </w:pPr>
  </w:style>
  <w:style w:type="paragraph" w:styleId="ListNumber">
    <w:name w:val="List Number"/>
    <w:basedOn w:val="List"/>
    <w:rsid w:val="00247153"/>
    <w:pPr>
      <w:numPr>
        <w:numId w:val="21"/>
      </w:numPr>
    </w:pPr>
    <w:rPr>
      <w:lang w:eastAsia="ja-JP"/>
    </w:rPr>
  </w:style>
  <w:style w:type="paragraph" w:styleId="List">
    <w:name w:val="List"/>
    <w:basedOn w:val="BodyText"/>
    <w:rsid w:val="00247153"/>
    <w:pPr>
      <w:ind w:left="568" w:hanging="284"/>
    </w:pPr>
  </w:style>
  <w:style w:type="paragraph" w:styleId="Header">
    <w:name w:val="header"/>
    <w:link w:val="HeaderChar"/>
    <w:rsid w:val="0024715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47153"/>
    <w:rPr>
      <w:b/>
      <w:position w:val="6"/>
      <w:sz w:val="16"/>
    </w:rPr>
  </w:style>
  <w:style w:type="paragraph" w:styleId="FootnoteText">
    <w:name w:val="footnote text"/>
    <w:basedOn w:val="Normal"/>
    <w:link w:val="FootnoteTextChar"/>
    <w:rsid w:val="00247153"/>
    <w:pPr>
      <w:keepLines/>
      <w:spacing w:after="0"/>
      <w:ind w:left="454" w:hanging="454"/>
    </w:pPr>
    <w:rPr>
      <w:sz w:val="16"/>
    </w:rPr>
  </w:style>
  <w:style w:type="paragraph" w:customStyle="1" w:styleId="3GPPHeader">
    <w:name w:val="3GPP_Header"/>
    <w:basedOn w:val="BodyText"/>
    <w:rsid w:val="00247153"/>
    <w:pPr>
      <w:tabs>
        <w:tab w:val="left" w:pos="1701"/>
        <w:tab w:val="right" w:pos="9639"/>
      </w:tabs>
      <w:spacing w:after="240"/>
    </w:pPr>
    <w:rPr>
      <w:b/>
      <w:sz w:val="24"/>
    </w:rPr>
  </w:style>
  <w:style w:type="paragraph" w:styleId="TOC9">
    <w:name w:val="toc 9"/>
    <w:basedOn w:val="TOC8"/>
    <w:uiPriority w:val="39"/>
    <w:rsid w:val="00247153"/>
    <w:pPr>
      <w:ind w:left="1418" w:hanging="1418"/>
    </w:pPr>
  </w:style>
  <w:style w:type="paragraph" w:styleId="TOC6">
    <w:name w:val="toc 6"/>
    <w:basedOn w:val="TOC5"/>
    <w:next w:val="Normal"/>
    <w:uiPriority w:val="39"/>
    <w:rsid w:val="00247153"/>
    <w:pPr>
      <w:ind w:left="1985" w:hanging="1985"/>
    </w:pPr>
  </w:style>
  <w:style w:type="paragraph" w:styleId="TOC7">
    <w:name w:val="toc 7"/>
    <w:basedOn w:val="TOC6"/>
    <w:next w:val="Normal"/>
    <w:uiPriority w:val="39"/>
    <w:rsid w:val="00247153"/>
    <w:pPr>
      <w:ind w:left="2268" w:hanging="2268"/>
    </w:pPr>
  </w:style>
  <w:style w:type="paragraph" w:styleId="ListBullet2">
    <w:name w:val="List Bullet 2"/>
    <w:basedOn w:val="ListBullet"/>
    <w:rsid w:val="00247153"/>
    <w:pPr>
      <w:numPr>
        <w:numId w:val="17"/>
      </w:numPr>
    </w:pPr>
  </w:style>
  <w:style w:type="paragraph" w:styleId="ListBullet">
    <w:name w:val="List Bullet"/>
    <w:basedOn w:val="List"/>
    <w:rsid w:val="00247153"/>
    <w:pPr>
      <w:numPr>
        <w:numId w:val="16"/>
      </w:numPr>
    </w:pPr>
    <w:rPr>
      <w:lang w:eastAsia="ja-JP"/>
    </w:rPr>
  </w:style>
  <w:style w:type="paragraph" w:styleId="ListBullet3">
    <w:name w:val="List Bullet 3"/>
    <w:basedOn w:val="ListBullet2"/>
    <w:rsid w:val="00247153"/>
    <w:pPr>
      <w:numPr>
        <w:numId w:val="18"/>
      </w:numPr>
    </w:pPr>
  </w:style>
  <w:style w:type="paragraph" w:customStyle="1" w:styleId="EQ">
    <w:name w:val="EQ"/>
    <w:basedOn w:val="Normal"/>
    <w:next w:val="Normal"/>
    <w:rsid w:val="00247153"/>
    <w:pPr>
      <w:keepLines/>
      <w:tabs>
        <w:tab w:val="center" w:pos="4536"/>
        <w:tab w:val="right" w:pos="9072"/>
      </w:tabs>
    </w:pPr>
    <w:rPr>
      <w:noProof/>
    </w:rPr>
  </w:style>
  <w:style w:type="paragraph" w:styleId="List2">
    <w:name w:val="List 2"/>
    <w:basedOn w:val="List"/>
    <w:rsid w:val="00247153"/>
    <w:pPr>
      <w:ind w:left="851"/>
    </w:pPr>
    <w:rPr>
      <w:lang w:eastAsia="ja-JP"/>
    </w:rPr>
  </w:style>
  <w:style w:type="paragraph" w:styleId="List3">
    <w:name w:val="List 3"/>
    <w:basedOn w:val="List2"/>
    <w:rsid w:val="00247153"/>
    <w:pPr>
      <w:ind w:left="1135"/>
    </w:pPr>
  </w:style>
  <w:style w:type="paragraph" w:styleId="List4">
    <w:name w:val="List 4"/>
    <w:basedOn w:val="List3"/>
    <w:rsid w:val="00247153"/>
    <w:pPr>
      <w:ind w:left="1418"/>
    </w:pPr>
  </w:style>
  <w:style w:type="paragraph" w:styleId="List5">
    <w:name w:val="List 5"/>
    <w:basedOn w:val="List4"/>
    <w:rsid w:val="00247153"/>
    <w:pPr>
      <w:ind w:left="1702"/>
    </w:pPr>
  </w:style>
  <w:style w:type="paragraph" w:customStyle="1" w:styleId="EditorsNote">
    <w:name w:val="Editor's Note"/>
    <w:basedOn w:val="NO"/>
    <w:link w:val="EditorsNoteChar"/>
    <w:rsid w:val="00247153"/>
    <w:rPr>
      <w:color w:val="FF0000"/>
      <w:lang w:val="x-none" w:eastAsia="x-none"/>
    </w:rPr>
  </w:style>
  <w:style w:type="paragraph" w:styleId="ListBullet4">
    <w:name w:val="List Bullet 4"/>
    <w:basedOn w:val="ListBullet3"/>
    <w:rsid w:val="00247153"/>
    <w:pPr>
      <w:numPr>
        <w:numId w:val="19"/>
      </w:numPr>
    </w:pPr>
  </w:style>
  <w:style w:type="paragraph" w:styleId="ListBullet5">
    <w:name w:val="List Bullet 5"/>
    <w:basedOn w:val="ListBullet4"/>
    <w:rsid w:val="00247153"/>
    <w:pPr>
      <w:numPr>
        <w:numId w:val="20"/>
      </w:numPr>
    </w:pPr>
  </w:style>
  <w:style w:type="paragraph" w:styleId="Footer">
    <w:name w:val="footer"/>
    <w:basedOn w:val="Header"/>
    <w:link w:val="FooterChar"/>
    <w:rsid w:val="00247153"/>
    <w:pPr>
      <w:jc w:val="center"/>
    </w:pPr>
    <w:rPr>
      <w:i/>
    </w:rPr>
  </w:style>
  <w:style w:type="paragraph" w:customStyle="1" w:styleId="Reference">
    <w:name w:val="Reference"/>
    <w:basedOn w:val="BodyText"/>
    <w:rsid w:val="00247153"/>
    <w:pPr>
      <w:numPr>
        <w:numId w:val="2"/>
      </w:numPr>
    </w:pPr>
  </w:style>
  <w:style w:type="paragraph" w:styleId="BalloonText">
    <w:name w:val="Balloon Text"/>
    <w:basedOn w:val="Normal"/>
    <w:link w:val="BalloonTextChar"/>
    <w:rsid w:val="00247153"/>
    <w:pPr>
      <w:spacing w:after="0"/>
    </w:pPr>
    <w:rPr>
      <w:rFonts w:ascii="Segoe UI" w:hAnsi="Segoe UI" w:cs="Segoe UI"/>
      <w:sz w:val="18"/>
      <w:szCs w:val="18"/>
    </w:rPr>
  </w:style>
  <w:style w:type="character" w:styleId="PageNumber">
    <w:name w:val="page number"/>
    <w:basedOn w:val="DefaultParagraphFont"/>
    <w:rsid w:val="00247153"/>
  </w:style>
  <w:style w:type="paragraph" w:styleId="BodyText">
    <w:name w:val="Body Text"/>
    <w:basedOn w:val="Normal"/>
    <w:link w:val="BodyTextChar"/>
    <w:rsid w:val="00247153"/>
    <w:pPr>
      <w:spacing w:after="120"/>
      <w:jc w:val="both"/>
    </w:pPr>
    <w:rPr>
      <w:rFonts w:ascii="Arial" w:hAnsi="Arial"/>
      <w:lang w:eastAsia="zh-CN"/>
    </w:rPr>
  </w:style>
  <w:style w:type="character" w:styleId="Hyperlink">
    <w:name w:val="Hyperlink"/>
    <w:uiPriority w:val="99"/>
    <w:rsid w:val="00247153"/>
    <w:rPr>
      <w:color w:val="0000FF"/>
      <w:u w:val="single"/>
    </w:rPr>
  </w:style>
  <w:style w:type="character" w:styleId="FollowedHyperlink">
    <w:name w:val="FollowedHyperlink"/>
    <w:unhideWhenUsed/>
    <w:rsid w:val="00247153"/>
    <w:rPr>
      <w:color w:val="800080"/>
      <w:u w:val="single"/>
    </w:rPr>
  </w:style>
  <w:style w:type="character" w:styleId="CommentReference">
    <w:name w:val="annotation reference"/>
    <w:uiPriority w:val="99"/>
    <w:qFormat/>
    <w:rsid w:val="00247153"/>
    <w:rPr>
      <w:sz w:val="16"/>
      <w:szCs w:val="16"/>
    </w:rPr>
  </w:style>
  <w:style w:type="paragraph" w:styleId="CommentText">
    <w:name w:val="annotation text"/>
    <w:basedOn w:val="Normal"/>
    <w:link w:val="CommentTextChar"/>
    <w:uiPriority w:val="99"/>
    <w:qFormat/>
    <w:rsid w:val="00247153"/>
  </w:style>
  <w:style w:type="paragraph" w:styleId="CommentSubject">
    <w:name w:val="annotation subject"/>
    <w:basedOn w:val="CommentText"/>
    <w:next w:val="CommentText"/>
    <w:link w:val="CommentSubjectChar"/>
    <w:rsid w:val="00247153"/>
    <w:rPr>
      <w:b/>
      <w:bCs/>
    </w:rPr>
  </w:style>
  <w:style w:type="character" w:customStyle="1" w:styleId="Heading1Char">
    <w:name w:val="Heading 1 Char"/>
    <w:link w:val="Heading1"/>
    <w:rsid w:val="00247153"/>
    <w:rPr>
      <w:rFonts w:ascii="Arial" w:hAnsi="Arial"/>
      <w:sz w:val="36"/>
      <w:lang w:eastAsia="ja-JP"/>
    </w:rPr>
  </w:style>
  <w:style w:type="paragraph" w:customStyle="1" w:styleId="B1">
    <w:name w:val="B1"/>
    <w:basedOn w:val="List"/>
    <w:link w:val="B1Char1"/>
    <w:rsid w:val="00247153"/>
    <w:rPr>
      <w:rFonts w:ascii="Times New Roman" w:hAnsi="Times New Roman"/>
    </w:rPr>
  </w:style>
  <w:style w:type="paragraph" w:customStyle="1" w:styleId="B2">
    <w:name w:val="B2"/>
    <w:basedOn w:val="List2"/>
    <w:link w:val="B2Char"/>
    <w:rsid w:val="00247153"/>
    <w:rPr>
      <w:rFonts w:ascii="Times New Roman" w:hAnsi="Times New Roman"/>
    </w:rPr>
  </w:style>
  <w:style w:type="paragraph" w:customStyle="1" w:styleId="B3">
    <w:name w:val="B3"/>
    <w:basedOn w:val="List3"/>
    <w:link w:val="B3Char2"/>
    <w:rsid w:val="00247153"/>
    <w:rPr>
      <w:rFonts w:ascii="Times New Roman" w:hAnsi="Times New Roman"/>
    </w:rPr>
  </w:style>
  <w:style w:type="paragraph" w:customStyle="1" w:styleId="B4">
    <w:name w:val="B4"/>
    <w:basedOn w:val="List4"/>
    <w:link w:val="B4Char"/>
    <w:rsid w:val="00247153"/>
    <w:rPr>
      <w:rFonts w:ascii="Times New Roman" w:hAnsi="Times New Roman"/>
    </w:rPr>
  </w:style>
  <w:style w:type="paragraph" w:customStyle="1" w:styleId="Proposal">
    <w:name w:val="Proposal"/>
    <w:basedOn w:val="BodyText"/>
    <w:qFormat/>
    <w:rsid w:val="00247153"/>
    <w:pPr>
      <w:numPr>
        <w:numId w:val="3"/>
      </w:numPr>
      <w:tabs>
        <w:tab w:val="clear" w:pos="1304"/>
        <w:tab w:val="left" w:pos="1701"/>
      </w:tabs>
      <w:ind w:left="1701" w:hanging="1701"/>
    </w:pPr>
    <w:rPr>
      <w:b/>
      <w:bCs/>
    </w:rPr>
  </w:style>
  <w:style w:type="character" w:customStyle="1" w:styleId="BodyTextChar">
    <w:name w:val="Body Text Char"/>
    <w:link w:val="BodyText"/>
    <w:rsid w:val="00247153"/>
    <w:rPr>
      <w:rFonts w:ascii="Arial" w:hAnsi="Arial"/>
      <w:lang w:eastAsia="zh-CN"/>
    </w:rPr>
  </w:style>
  <w:style w:type="paragraph" w:customStyle="1" w:styleId="B5">
    <w:name w:val="B5"/>
    <w:basedOn w:val="List5"/>
    <w:link w:val="B5Char"/>
    <w:rsid w:val="00247153"/>
    <w:rPr>
      <w:rFonts w:ascii="Times New Roman" w:hAnsi="Times New Roman"/>
    </w:rPr>
  </w:style>
  <w:style w:type="paragraph" w:customStyle="1" w:styleId="EX">
    <w:name w:val="EX"/>
    <w:basedOn w:val="Normal"/>
    <w:rsid w:val="00247153"/>
    <w:pPr>
      <w:keepLines/>
      <w:ind w:left="1702" w:hanging="1418"/>
    </w:pPr>
  </w:style>
  <w:style w:type="paragraph" w:customStyle="1" w:styleId="EW">
    <w:name w:val="EW"/>
    <w:basedOn w:val="EX"/>
    <w:rsid w:val="00247153"/>
    <w:pPr>
      <w:spacing w:after="0"/>
    </w:pPr>
  </w:style>
  <w:style w:type="paragraph" w:customStyle="1" w:styleId="TAL">
    <w:name w:val="TAL"/>
    <w:basedOn w:val="Normal"/>
    <w:link w:val="TALCar"/>
    <w:rsid w:val="00247153"/>
    <w:pPr>
      <w:keepNext/>
      <w:keepLines/>
      <w:spacing w:after="0"/>
    </w:pPr>
    <w:rPr>
      <w:rFonts w:ascii="Arial" w:hAnsi="Arial"/>
      <w:sz w:val="18"/>
      <w:lang w:val="x-none" w:eastAsia="x-none"/>
    </w:rPr>
  </w:style>
  <w:style w:type="paragraph" w:customStyle="1" w:styleId="TAC">
    <w:name w:val="TAC"/>
    <w:basedOn w:val="TAL"/>
    <w:link w:val="TACChar"/>
    <w:rsid w:val="00247153"/>
    <w:pPr>
      <w:jc w:val="center"/>
    </w:pPr>
  </w:style>
  <w:style w:type="paragraph" w:customStyle="1" w:styleId="TAH">
    <w:name w:val="TAH"/>
    <w:basedOn w:val="TAC"/>
    <w:link w:val="TAHCar"/>
    <w:rsid w:val="00247153"/>
    <w:rPr>
      <w:b/>
    </w:rPr>
  </w:style>
  <w:style w:type="paragraph" w:customStyle="1" w:styleId="TAN">
    <w:name w:val="TAN"/>
    <w:basedOn w:val="TAL"/>
    <w:rsid w:val="00247153"/>
    <w:pPr>
      <w:ind w:left="851" w:hanging="851"/>
    </w:pPr>
  </w:style>
  <w:style w:type="paragraph" w:customStyle="1" w:styleId="TAR">
    <w:name w:val="TAR"/>
    <w:basedOn w:val="TAL"/>
    <w:rsid w:val="00247153"/>
    <w:pPr>
      <w:jc w:val="right"/>
    </w:pPr>
  </w:style>
  <w:style w:type="paragraph" w:customStyle="1" w:styleId="TH">
    <w:name w:val="TH"/>
    <w:basedOn w:val="Normal"/>
    <w:link w:val="THChar"/>
    <w:rsid w:val="00247153"/>
    <w:pPr>
      <w:keepNext/>
      <w:keepLines/>
      <w:spacing w:before="60"/>
      <w:jc w:val="center"/>
    </w:pPr>
    <w:rPr>
      <w:rFonts w:ascii="Arial" w:hAnsi="Arial"/>
      <w:b/>
      <w:lang w:val="x-none" w:eastAsia="x-none"/>
    </w:rPr>
  </w:style>
  <w:style w:type="paragraph" w:customStyle="1" w:styleId="TF">
    <w:name w:val="TF"/>
    <w:basedOn w:val="TH"/>
    <w:link w:val="TFChar"/>
    <w:rsid w:val="00247153"/>
    <w:pPr>
      <w:keepNext w:val="0"/>
      <w:spacing w:before="0" w:after="240"/>
    </w:pPr>
  </w:style>
  <w:style w:type="paragraph" w:customStyle="1" w:styleId="TT">
    <w:name w:val="TT"/>
    <w:basedOn w:val="Heading1"/>
    <w:next w:val="Normal"/>
    <w:rsid w:val="00247153"/>
    <w:pPr>
      <w:outlineLvl w:val="9"/>
    </w:pPr>
  </w:style>
  <w:style w:type="paragraph" w:customStyle="1" w:styleId="ZA">
    <w:name w:val="ZA"/>
    <w:rsid w:val="002471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471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4715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471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47153"/>
  </w:style>
  <w:style w:type="paragraph" w:customStyle="1" w:styleId="ZH">
    <w:name w:val="ZH"/>
    <w:rsid w:val="0024715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471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47153"/>
    <w:pPr>
      <w:framePr w:hRule="auto" w:wrap="notBeside" w:y="852"/>
    </w:pPr>
    <w:rPr>
      <w:i w:val="0"/>
      <w:sz w:val="40"/>
    </w:rPr>
  </w:style>
  <w:style w:type="paragraph" w:customStyle="1" w:styleId="ZU">
    <w:name w:val="ZU"/>
    <w:rsid w:val="002471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47153"/>
    <w:pPr>
      <w:framePr w:wrap="notBeside" w:y="16161"/>
    </w:pPr>
  </w:style>
  <w:style w:type="paragraph" w:customStyle="1" w:styleId="FP">
    <w:name w:val="FP"/>
    <w:basedOn w:val="Normal"/>
    <w:rsid w:val="00247153"/>
    <w:pPr>
      <w:spacing w:after="0"/>
    </w:pPr>
  </w:style>
  <w:style w:type="paragraph" w:customStyle="1" w:styleId="Observation">
    <w:name w:val="Observation"/>
    <w:basedOn w:val="Proposal"/>
    <w:qFormat/>
    <w:rsid w:val="00247153"/>
    <w:pPr>
      <w:numPr>
        <w:numId w:val="13"/>
      </w:numPr>
      <w:ind w:left="1701" w:hanging="1701"/>
    </w:pPr>
    <w:rPr>
      <w:lang w:eastAsia="ja-JP"/>
    </w:rPr>
  </w:style>
  <w:style w:type="paragraph" w:styleId="TableofFigures">
    <w:name w:val="table of figures"/>
    <w:basedOn w:val="BodyText"/>
    <w:next w:val="Normal"/>
    <w:uiPriority w:val="99"/>
    <w:rsid w:val="00247153"/>
    <w:pPr>
      <w:ind w:left="1701" w:hanging="1701"/>
      <w:jc w:val="left"/>
    </w:pPr>
    <w:rPr>
      <w:b/>
    </w:rPr>
  </w:style>
  <w:style w:type="character" w:customStyle="1" w:styleId="B1Char1">
    <w:name w:val="B1 Char1"/>
    <w:link w:val="B1"/>
    <w:qFormat/>
    <w:rsid w:val="00247153"/>
    <w:rPr>
      <w:rFonts w:ascii="Times New Roman" w:hAnsi="Times New Roman"/>
      <w:lang w:eastAsia="zh-CN"/>
    </w:rPr>
  </w:style>
  <w:style w:type="character" w:customStyle="1" w:styleId="B2Char">
    <w:name w:val="B2 Char"/>
    <w:link w:val="B2"/>
    <w:qFormat/>
    <w:rsid w:val="00247153"/>
    <w:rPr>
      <w:rFonts w:ascii="Times New Roman" w:hAnsi="Times New Roman"/>
      <w:lang w:eastAsia="ja-JP"/>
    </w:rPr>
  </w:style>
  <w:style w:type="character" w:customStyle="1" w:styleId="B3Char2">
    <w:name w:val="B3 Char2"/>
    <w:link w:val="B3"/>
    <w:qFormat/>
    <w:rsid w:val="00247153"/>
    <w:rPr>
      <w:rFonts w:ascii="Times New Roman" w:hAnsi="Times New Roman"/>
      <w:lang w:eastAsia="ja-JP"/>
    </w:rPr>
  </w:style>
  <w:style w:type="character" w:customStyle="1" w:styleId="B4Char">
    <w:name w:val="B4 Char"/>
    <w:link w:val="B4"/>
    <w:rsid w:val="00247153"/>
    <w:rPr>
      <w:rFonts w:ascii="Times New Roman" w:hAnsi="Times New Roman"/>
      <w:lang w:eastAsia="ja-JP"/>
    </w:rPr>
  </w:style>
  <w:style w:type="character" w:customStyle="1" w:styleId="B5Char">
    <w:name w:val="B5 Char"/>
    <w:link w:val="B5"/>
    <w:rsid w:val="00247153"/>
    <w:rPr>
      <w:rFonts w:ascii="Times New Roman" w:hAnsi="Times New Roman"/>
      <w:lang w:eastAsia="ja-JP"/>
    </w:rPr>
  </w:style>
  <w:style w:type="paragraph" w:customStyle="1" w:styleId="B6">
    <w:name w:val="B6"/>
    <w:basedOn w:val="B5"/>
    <w:link w:val="B6Char"/>
    <w:rsid w:val="00247153"/>
    <w:pPr>
      <w:ind w:left="1985"/>
    </w:pPr>
  </w:style>
  <w:style w:type="character" w:customStyle="1" w:styleId="B6Char">
    <w:name w:val="B6 Char"/>
    <w:link w:val="B6"/>
    <w:rsid w:val="00247153"/>
    <w:rPr>
      <w:rFonts w:ascii="Times New Roman" w:hAnsi="Times New Roman"/>
      <w:lang w:eastAsia="ja-JP"/>
    </w:rPr>
  </w:style>
  <w:style w:type="paragraph" w:customStyle="1" w:styleId="B7">
    <w:name w:val="B7"/>
    <w:basedOn w:val="B6"/>
    <w:link w:val="B7Char"/>
    <w:rsid w:val="00247153"/>
    <w:pPr>
      <w:ind w:left="2269"/>
    </w:pPr>
  </w:style>
  <w:style w:type="character" w:customStyle="1" w:styleId="B7Char">
    <w:name w:val="B7 Char"/>
    <w:basedOn w:val="B6Char"/>
    <w:link w:val="B7"/>
    <w:rsid w:val="00247153"/>
    <w:rPr>
      <w:rFonts w:ascii="Times New Roman" w:hAnsi="Times New Roman"/>
      <w:lang w:eastAsia="ja-JP"/>
    </w:rPr>
  </w:style>
  <w:style w:type="paragraph" w:customStyle="1" w:styleId="B8">
    <w:name w:val="B8"/>
    <w:basedOn w:val="B7"/>
    <w:qFormat/>
    <w:rsid w:val="00247153"/>
    <w:pPr>
      <w:ind w:left="2552"/>
    </w:pPr>
  </w:style>
  <w:style w:type="character" w:customStyle="1" w:styleId="BalloonTextChar">
    <w:name w:val="Balloon Text Char"/>
    <w:link w:val="BalloonText"/>
    <w:rsid w:val="00247153"/>
    <w:rPr>
      <w:rFonts w:ascii="Segoe UI" w:hAnsi="Segoe UI" w:cs="Segoe UI"/>
      <w:sz w:val="18"/>
      <w:szCs w:val="18"/>
      <w:lang w:eastAsia="ja-JP"/>
    </w:rPr>
  </w:style>
  <w:style w:type="character" w:customStyle="1" w:styleId="CommentTextChar">
    <w:name w:val="Comment Text Char"/>
    <w:link w:val="CommentText"/>
    <w:uiPriority w:val="99"/>
    <w:qFormat/>
    <w:rsid w:val="00247153"/>
    <w:rPr>
      <w:rFonts w:ascii="Times New Roman" w:hAnsi="Times New Roman"/>
      <w:lang w:eastAsia="ja-JP"/>
    </w:rPr>
  </w:style>
  <w:style w:type="character" w:customStyle="1" w:styleId="CommentSubjectChar">
    <w:name w:val="Comment Subject Char"/>
    <w:link w:val="CommentSubject"/>
    <w:rsid w:val="00247153"/>
    <w:rPr>
      <w:rFonts w:ascii="Times New Roman" w:hAnsi="Times New Roman"/>
      <w:b/>
      <w:bCs/>
      <w:lang w:eastAsia="ja-JP"/>
    </w:rPr>
  </w:style>
  <w:style w:type="paragraph" w:customStyle="1" w:styleId="CRCoverPage">
    <w:name w:val="CR Cover Page"/>
    <w:link w:val="CRCoverPageZchn"/>
    <w:rsid w:val="00247153"/>
    <w:pPr>
      <w:spacing w:after="120"/>
    </w:pPr>
    <w:rPr>
      <w:rFonts w:ascii="Arial" w:hAnsi="Arial"/>
      <w:lang w:eastAsia="ko-KR"/>
    </w:rPr>
  </w:style>
  <w:style w:type="character" w:customStyle="1" w:styleId="CRCoverPageZchn">
    <w:name w:val="CR Cover Page Zchn"/>
    <w:link w:val="CRCoverPage"/>
    <w:rsid w:val="00247153"/>
    <w:rPr>
      <w:rFonts w:ascii="Arial" w:hAnsi="Arial"/>
      <w:lang w:eastAsia="ko-KR"/>
    </w:rPr>
  </w:style>
  <w:style w:type="paragraph" w:customStyle="1" w:styleId="Doc-text2">
    <w:name w:val="Doc-text2"/>
    <w:basedOn w:val="Normal"/>
    <w:link w:val="Doc-text2Char"/>
    <w:qFormat/>
    <w:rsid w:val="0024715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47153"/>
    <w:rPr>
      <w:rFonts w:ascii="Arial" w:eastAsia="MS Mincho" w:hAnsi="Arial"/>
      <w:szCs w:val="24"/>
      <w:lang w:val="x-none" w:eastAsia="x-none"/>
    </w:rPr>
  </w:style>
  <w:style w:type="character" w:customStyle="1" w:styleId="DocumentMapChar">
    <w:name w:val="Document Map Char"/>
    <w:link w:val="DocumentMap"/>
    <w:rsid w:val="00247153"/>
    <w:rPr>
      <w:rFonts w:ascii="Tahoma" w:hAnsi="Tahoma" w:cs="Tahoma"/>
      <w:shd w:val="clear" w:color="auto" w:fill="000080"/>
      <w:lang w:eastAsia="ja-JP"/>
    </w:rPr>
  </w:style>
  <w:style w:type="paragraph" w:customStyle="1" w:styleId="NO">
    <w:name w:val="NO"/>
    <w:basedOn w:val="Normal"/>
    <w:link w:val="NOChar"/>
    <w:rsid w:val="00247153"/>
    <w:pPr>
      <w:keepLines/>
      <w:ind w:left="1135" w:hanging="851"/>
    </w:pPr>
  </w:style>
  <w:style w:type="character" w:customStyle="1" w:styleId="NOChar">
    <w:name w:val="NO Char"/>
    <w:link w:val="NO"/>
    <w:qFormat/>
    <w:rsid w:val="00247153"/>
    <w:rPr>
      <w:rFonts w:ascii="Times New Roman" w:hAnsi="Times New Roman"/>
      <w:lang w:eastAsia="ja-JP"/>
    </w:rPr>
  </w:style>
  <w:style w:type="character" w:customStyle="1" w:styleId="EditorsNoteChar">
    <w:name w:val="Editor's Note Char"/>
    <w:link w:val="EditorsNote"/>
    <w:rsid w:val="00247153"/>
    <w:rPr>
      <w:rFonts w:ascii="Times New Roman" w:hAnsi="Times New Roman"/>
      <w:color w:val="FF0000"/>
      <w:lang w:val="x-none" w:eastAsia="x-none"/>
    </w:rPr>
  </w:style>
  <w:style w:type="paragraph" w:customStyle="1" w:styleId="EmailDiscussion">
    <w:name w:val="EmailDiscussion"/>
    <w:basedOn w:val="Normal"/>
    <w:next w:val="Normal"/>
    <w:rsid w:val="00247153"/>
    <w:pPr>
      <w:numPr>
        <w:numId w:val="14"/>
      </w:numPr>
      <w:spacing w:before="40" w:after="0"/>
    </w:pPr>
    <w:rPr>
      <w:rFonts w:ascii="Arial" w:eastAsia="MS Mincho" w:hAnsi="Arial"/>
      <w:b/>
      <w:szCs w:val="24"/>
      <w:lang w:eastAsia="en-GB"/>
    </w:rPr>
  </w:style>
  <w:style w:type="character" w:styleId="Emphasis">
    <w:name w:val="Emphasis"/>
    <w:qFormat/>
    <w:rsid w:val="00247153"/>
    <w:rPr>
      <w:i/>
      <w:iCs/>
    </w:rPr>
  </w:style>
  <w:style w:type="paragraph" w:customStyle="1" w:styleId="FigureTitle">
    <w:name w:val="Figure_Title"/>
    <w:basedOn w:val="Normal"/>
    <w:next w:val="Normal"/>
    <w:rsid w:val="0024715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47153"/>
    <w:rPr>
      <w:rFonts w:ascii="Arial" w:hAnsi="Arial"/>
      <w:b/>
      <w:noProof/>
      <w:sz w:val="18"/>
      <w:lang w:eastAsia="ja-JP"/>
    </w:rPr>
  </w:style>
  <w:style w:type="character" w:customStyle="1" w:styleId="FooterChar">
    <w:name w:val="Footer Char"/>
    <w:link w:val="Footer"/>
    <w:rsid w:val="00247153"/>
    <w:rPr>
      <w:rFonts w:ascii="Arial" w:hAnsi="Arial"/>
      <w:b/>
      <w:i/>
      <w:noProof/>
      <w:sz w:val="18"/>
      <w:lang w:eastAsia="ja-JP"/>
    </w:rPr>
  </w:style>
  <w:style w:type="character" w:customStyle="1" w:styleId="FootnoteTextChar">
    <w:name w:val="Footnote Text Char"/>
    <w:link w:val="FootnoteText"/>
    <w:rsid w:val="00247153"/>
    <w:rPr>
      <w:rFonts w:ascii="Times New Roman" w:hAnsi="Times New Roman"/>
      <w:sz w:val="16"/>
      <w:lang w:eastAsia="ja-JP"/>
    </w:rPr>
  </w:style>
  <w:style w:type="paragraph" w:customStyle="1" w:styleId="Guidance">
    <w:name w:val="Guidance"/>
    <w:basedOn w:val="Normal"/>
    <w:rsid w:val="00247153"/>
    <w:rPr>
      <w:i/>
      <w:color w:val="0000FF"/>
    </w:rPr>
  </w:style>
  <w:style w:type="character" w:customStyle="1" w:styleId="Heading2Char">
    <w:name w:val="Heading 2 Char"/>
    <w:link w:val="Heading2"/>
    <w:rsid w:val="00247153"/>
    <w:rPr>
      <w:rFonts w:ascii="Arial" w:hAnsi="Arial"/>
      <w:sz w:val="32"/>
      <w:lang w:eastAsia="ja-JP"/>
    </w:rPr>
  </w:style>
  <w:style w:type="character" w:customStyle="1" w:styleId="Heading3Char">
    <w:name w:val="Heading 3 Char"/>
    <w:link w:val="Heading3"/>
    <w:rsid w:val="00247153"/>
    <w:rPr>
      <w:rFonts w:ascii="Arial" w:hAnsi="Arial"/>
      <w:sz w:val="28"/>
      <w:lang w:eastAsia="ja-JP"/>
    </w:rPr>
  </w:style>
  <w:style w:type="character" w:customStyle="1" w:styleId="Heading4Char">
    <w:name w:val="Heading 4 Char"/>
    <w:link w:val="Heading4"/>
    <w:rsid w:val="00247153"/>
    <w:rPr>
      <w:rFonts w:ascii="Arial" w:hAnsi="Arial"/>
      <w:sz w:val="24"/>
      <w:lang w:eastAsia="ja-JP"/>
    </w:rPr>
  </w:style>
  <w:style w:type="character" w:customStyle="1" w:styleId="Heading5Char">
    <w:name w:val="Heading 5 Char"/>
    <w:link w:val="Heading5"/>
    <w:rsid w:val="00247153"/>
    <w:rPr>
      <w:rFonts w:ascii="Arial" w:hAnsi="Arial"/>
      <w:sz w:val="22"/>
      <w:lang w:eastAsia="ja-JP"/>
    </w:rPr>
  </w:style>
  <w:style w:type="paragraph" w:customStyle="1" w:styleId="H6">
    <w:name w:val="H6"/>
    <w:basedOn w:val="Heading5"/>
    <w:next w:val="Normal"/>
    <w:rsid w:val="00247153"/>
    <w:pPr>
      <w:ind w:left="1985" w:hanging="1985"/>
      <w:outlineLvl w:val="9"/>
    </w:pPr>
    <w:rPr>
      <w:sz w:val="20"/>
    </w:rPr>
  </w:style>
  <w:style w:type="character" w:customStyle="1" w:styleId="Heading6Char">
    <w:name w:val="Heading 6 Char"/>
    <w:link w:val="Heading6"/>
    <w:rsid w:val="00247153"/>
    <w:rPr>
      <w:rFonts w:ascii="Arial" w:hAnsi="Arial"/>
      <w:lang w:eastAsia="ja-JP"/>
    </w:rPr>
  </w:style>
  <w:style w:type="character" w:customStyle="1" w:styleId="Heading7Char">
    <w:name w:val="Heading 7 Char"/>
    <w:link w:val="Heading7"/>
    <w:rsid w:val="00247153"/>
    <w:rPr>
      <w:rFonts w:ascii="Arial" w:hAnsi="Arial"/>
      <w:lang w:eastAsia="ja-JP"/>
    </w:rPr>
  </w:style>
  <w:style w:type="character" w:customStyle="1" w:styleId="Heading8Char">
    <w:name w:val="Heading 8 Char"/>
    <w:link w:val="Heading8"/>
    <w:rsid w:val="00247153"/>
    <w:rPr>
      <w:rFonts w:ascii="Arial" w:hAnsi="Arial"/>
      <w:sz w:val="36"/>
      <w:lang w:eastAsia="ja-JP"/>
    </w:rPr>
  </w:style>
  <w:style w:type="character" w:customStyle="1" w:styleId="Heading9Char">
    <w:name w:val="Heading 9 Char"/>
    <w:link w:val="Heading9"/>
    <w:rsid w:val="00247153"/>
    <w:rPr>
      <w:rFonts w:ascii="Arial" w:hAnsi="Arial"/>
      <w:sz w:val="36"/>
      <w:lang w:eastAsia="ja-JP"/>
    </w:rPr>
  </w:style>
  <w:style w:type="character" w:styleId="HTMLCode">
    <w:name w:val="HTML Code"/>
    <w:uiPriority w:val="99"/>
    <w:unhideWhenUsed/>
    <w:rsid w:val="00247153"/>
    <w:rPr>
      <w:rFonts w:ascii="Courier New" w:eastAsia="Times New Roman" w:hAnsi="Courier New" w:cs="Courier New"/>
      <w:sz w:val="20"/>
      <w:szCs w:val="20"/>
    </w:rPr>
  </w:style>
  <w:style w:type="paragraph" w:styleId="IndexHeading">
    <w:name w:val="index heading"/>
    <w:basedOn w:val="Normal"/>
    <w:next w:val="Normal"/>
    <w:rsid w:val="00247153"/>
    <w:pPr>
      <w:pBdr>
        <w:top w:val="single" w:sz="12" w:space="0" w:color="auto"/>
      </w:pBdr>
      <w:spacing w:before="360" w:after="240"/>
    </w:pPr>
    <w:rPr>
      <w:b/>
      <w:i/>
      <w:sz w:val="26"/>
      <w:lang w:eastAsia="en-GB"/>
    </w:rPr>
  </w:style>
  <w:style w:type="paragraph" w:customStyle="1" w:styleId="LD">
    <w:name w:val="LD"/>
    <w:rsid w:val="0024715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47153"/>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47153"/>
    <w:rPr>
      <w:rFonts w:ascii="Calibri" w:eastAsia="Calibri" w:hAnsi="Calibri"/>
      <w:sz w:val="22"/>
      <w:szCs w:val="22"/>
      <w:lang w:val="x-none" w:eastAsia="en-US"/>
    </w:rPr>
  </w:style>
  <w:style w:type="paragraph" w:customStyle="1" w:styleId="NF">
    <w:name w:val="NF"/>
    <w:basedOn w:val="NO"/>
    <w:rsid w:val="00247153"/>
    <w:pPr>
      <w:keepNext/>
      <w:spacing w:after="0"/>
    </w:pPr>
    <w:rPr>
      <w:rFonts w:ascii="Arial" w:hAnsi="Arial"/>
      <w:sz w:val="18"/>
    </w:rPr>
  </w:style>
  <w:style w:type="paragraph" w:customStyle="1" w:styleId="NW">
    <w:name w:val="NW"/>
    <w:basedOn w:val="NO"/>
    <w:rsid w:val="00247153"/>
    <w:pPr>
      <w:spacing w:after="0"/>
    </w:pPr>
  </w:style>
  <w:style w:type="paragraph" w:customStyle="1" w:styleId="PL">
    <w:name w:val="PL"/>
    <w:link w:val="PLChar"/>
    <w:qFormat/>
    <w:rsid w:val="00247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47153"/>
    <w:rPr>
      <w:rFonts w:ascii="Courier New" w:eastAsia="Batang" w:hAnsi="Courier New"/>
      <w:noProof/>
      <w:sz w:val="16"/>
      <w:shd w:val="clear" w:color="auto" w:fill="E6E6E6"/>
      <w:lang w:eastAsia="sv-SE"/>
    </w:rPr>
  </w:style>
  <w:style w:type="paragraph" w:styleId="PlainText">
    <w:name w:val="Plain Text"/>
    <w:basedOn w:val="Normal"/>
    <w:link w:val="PlainTextChar"/>
    <w:rsid w:val="00247153"/>
    <w:rPr>
      <w:rFonts w:ascii="Courier New" w:hAnsi="Courier New"/>
      <w:lang w:val="nb-NO"/>
    </w:rPr>
  </w:style>
  <w:style w:type="character" w:customStyle="1" w:styleId="PlainTextChar">
    <w:name w:val="Plain Text Char"/>
    <w:link w:val="PlainText"/>
    <w:rsid w:val="00247153"/>
    <w:rPr>
      <w:rFonts w:ascii="Courier New" w:hAnsi="Courier New"/>
      <w:lang w:val="nb-NO" w:eastAsia="ja-JP"/>
    </w:rPr>
  </w:style>
  <w:style w:type="character" w:styleId="Strong">
    <w:name w:val="Strong"/>
    <w:uiPriority w:val="22"/>
    <w:qFormat/>
    <w:rsid w:val="00247153"/>
    <w:rPr>
      <w:b/>
      <w:bCs/>
    </w:rPr>
  </w:style>
  <w:style w:type="table" w:styleId="TableGrid">
    <w:name w:val="Table Grid"/>
    <w:basedOn w:val="TableNormal"/>
    <w:uiPriority w:val="39"/>
    <w:rsid w:val="0024715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47153"/>
    <w:rPr>
      <w:rFonts w:ascii="Arial" w:hAnsi="Arial"/>
      <w:sz w:val="18"/>
      <w:lang w:val="x-none" w:eastAsia="x-none"/>
    </w:rPr>
  </w:style>
  <w:style w:type="character" w:customStyle="1" w:styleId="TAHCar">
    <w:name w:val="TAH Car"/>
    <w:link w:val="TAH"/>
    <w:locked/>
    <w:rsid w:val="00247153"/>
    <w:rPr>
      <w:rFonts w:ascii="Arial" w:hAnsi="Arial"/>
      <w:b/>
      <w:sz w:val="18"/>
      <w:lang w:val="x-none" w:eastAsia="x-none"/>
    </w:rPr>
  </w:style>
  <w:style w:type="character" w:customStyle="1" w:styleId="THChar">
    <w:name w:val="TH Char"/>
    <w:link w:val="TH"/>
    <w:rsid w:val="00247153"/>
    <w:rPr>
      <w:rFonts w:ascii="Arial" w:hAnsi="Arial"/>
      <w:b/>
      <w:lang w:val="x-none" w:eastAsia="x-none"/>
    </w:rPr>
  </w:style>
  <w:style w:type="paragraph" w:customStyle="1" w:styleId="TAJ">
    <w:name w:val="TAJ"/>
    <w:basedOn w:val="TH"/>
    <w:rsid w:val="00247153"/>
  </w:style>
  <w:style w:type="paragraph" w:customStyle="1" w:styleId="TALCharChar">
    <w:name w:val="TAL Char Char"/>
    <w:basedOn w:val="Normal"/>
    <w:link w:val="TALCharCharChar"/>
    <w:rsid w:val="0024715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47153"/>
    <w:rPr>
      <w:rFonts w:ascii="Arial" w:eastAsia="Malgun Gothic" w:hAnsi="Arial"/>
      <w:sz w:val="18"/>
      <w:lang w:val="x-none" w:eastAsia="x-none"/>
    </w:rPr>
  </w:style>
  <w:style w:type="character" w:customStyle="1" w:styleId="TFChar">
    <w:name w:val="TF Char"/>
    <w:link w:val="TF"/>
    <w:rsid w:val="00247153"/>
    <w:rPr>
      <w:rFonts w:ascii="Arial" w:hAnsi="Arial"/>
      <w:b/>
      <w:lang w:val="x-none" w:eastAsia="x-none"/>
    </w:rPr>
  </w:style>
  <w:style w:type="paragraph" w:styleId="ListContinue">
    <w:name w:val="List Continue"/>
    <w:basedOn w:val="Normal"/>
    <w:rsid w:val="00247153"/>
    <w:pPr>
      <w:spacing w:after="120"/>
      <w:ind w:left="283"/>
      <w:contextualSpacing/>
    </w:pPr>
    <w:rPr>
      <w:rFonts w:ascii="Arial" w:hAnsi="Arial"/>
    </w:rPr>
  </w:style>
  <w:style w:type="paragraph" w:styleId="ListContinue2">
    <w:name w:val="List Continue 2"/>
    <w:basedOn w:val="Normal"/>
    <w:rsid w:val="00247153"/>
    <w:pPr>
      <w:spacing w:after="120"/>
      <w:ind w:left="566"/>
      <w:contextualSpacing/>
    </w:pPr>
    <w:rPr>
      <w:rFonts w:ascii="Arial" w:hAnsi="Arial"/>
    </w:rPr>
  </w:style>
  <w:style w:type="paragraph" w:styleId="ListNumber3">
    <w:name w:val="List Number 3"/>
    <w:basedOn w:val="ListNumber2"/>
    <w:rsid w:val="00247153"/>
    <w:pPr>
      <w:numPr>
        <w:numId w:val="10"/>
      </w:numPr>
      <w:contextualSpacing/>
    </w:pPr>
  </w:style>
  <w:style w:type="character" w:customStyle="1" w:styleId="TACChar">
    <w:name w:val="TAC Char"/>
    <w:link w:val="TAC"/>
    <w:locked/>
    <w:rsid w:val="00CE2BB0"/>
    <w:rPr>
      <w:rFonts w:ascii="Arial" w:hAnsi="Arial"/>
      <w:sz w:val="18"/>
      <w:lang w:val="x-none" w:eastAsia="x-none"/>
    </w:rPr>
  </w:style>
  <w:style w:type="character" w:styleId="PlaceholderText">
    <w:name w:val="Placeholder Text"/>
    <w:basedOn w:val="DefaultParagraphFont"/>
    <w:uiPriority w:val="99"/>
    <w:semiHidden/>
    <w:rsid w:val="00CE2BB0"/>
    <w:rPr>
      <w:color w:val="808080"/>
    </w:rPr>
  </w:style>
  <w:style w:type="character" w:customStyle="1" w:styleId="Style1Char">
    <w:name w:val="Style1 Char"/>
    <w:basedOn w:val="DefaultParagraphFont"/>
    <w:link w:val="Style1"/>
    <w:qFormat/>
    <w:locked/>
    <w:rsid w:val="006F0F57"/>
    <w:rPr>
      <w:rFonts w:ascii="Malgun Gothic" w:eastAsia="Malgun Gothic" w:hAnsi="Malgun Gothic" w:cs="Batang"/>
      <w:lang w:eastAsia="en-US"/>
    </w:rPr>
  </w:style>
  <w:style w:type="paragraph" w:customStyle="1" w:styleId="Style1">
    <w:name w:val="Style1"/>
    <w:basedOn w:val="Normal"/>
    <w:link w:val="Style1Char"/>
    <w:qFormat/>
    <w:rsid w:val="006F0F57"/>
    <w:pPr>
      <w:overflowPunct/>
      <w:autoSpaceDE/>
      <w:autoSpaceDN/>
      <w:adjustRightInd/>
      <w:spacing w:line="288" w:lineRule="auto"/>
      <w:ind w:firstLine="360"/>
      <w:jc w:val="both"/>
      <w:textAlignment w:val="auto"/>
    </w:pPr>
    <w:rPr>
      <w:rFonts w:ascii="Malgun Gothic" w:eastAsia="Malgun Gothic" w:hAnsi="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947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17765-1463-4DCF-B5EE-C3CA3588A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purl.org/dc/elements/1.1/"/>
    <ds:schemaRef ds:uri="http://purl.org/dc/terms/"/>
    <ds:schemaRef ds:uri="2f282d3b-eb4a-4b09-b61f-b9593442e286"/>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D0052ADD-45B2-4EC8-AA96-3F7EC8575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0</TotalTime>
  <Pages>8</Pages>
  <Words>3764</Words>
  <Characters>21456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25170</CharactersWithSpaces>
  <SharedDoc>false</SharedDoc>
  <HLinks>
    <vt:vector size="126" baseType="variant">
      <vt:variant>
        <vt:i4>1376304</vt:i4>
      </vt:variant>
      <vt:variant>
        <vt:i4>98</vt:i4>
      </vt:variant>
      <vt:variant>
        <vt:i4>0</vt:i4>
      </vt:variant>
      <vt:variant>
        <vt:i4>5</vt:i4>
      </vt:variant>
      <vt:variant>
        <vt:lpwstr/>
      </vt:variant>
      <vt:variant>
        <vt:lpwstr>_Toc24114572</vt:lpwstr>
      </vt:variant>
      <vt:variant>
        <vt:i4>1441840</vt:i4>
      </vt:variant>
      <vt:variant>
        <vt:i4>95</vt:i4>
      </vt:variant>
      <vt:variant>
        <vt:i4>0</vt:i4>
      </vt:variant>
      <vt:variant>
        <vt:i4>5</vt:i4>
      </vt:variant>
      <vt:variant>
        <vt:lpwstr/>
      </vt:variant>
      <vt:variant>
        <vt:lpwstr>_Toc24114571</vt:lpwstr>
      </vt:variant>
      <vt:variant>
        <vt:i4>1507376</vt:i4>
      </vt:variant>
      <vt:variant>
        <vt:i4>92</vt:i4>
      </vt:variant>
      <vt:variant>
        <vt:i4>0</vt:i4>
      </vt:variant>
      <vt:variant>
        <vt:i4>5</vt:i4>
      </vt:variant>
      <vt:variant>
        <vt:lpwstr/>
      </vt:variant>
      <vt:variant>
        <vt:lpwstr>_Toc24114570</vt:lpwstr>
      </vt:variant>
      <vt:variant>
        <vt:i4>1966129</vt:i4>
      </vt:variant>
      <vt:variant>
        <vt:i4>89</vt:i4>
      </vt:variant>
      <vt:variant>
        <vt:i4>0</vt:i4>
      </vt:variant>
      <vt:variant>
        <vt:i4>5</vt:i4>
      </vt:variant>
      <vt:variant>
        <vt:lpwstr/>
      </vt:variant>
      <vt:variant>
        <vt:lpwstr>_Toc24114569</vt:lpwstr>
      </vt:variant>
      <vt:variant>
        <vt:i4>2031665</vt:i4>
      </vt:variant>
      <vt:variant>
        <vt:i4>86</vt:i4>
      </vt:variant>
      <vt:variant>
        <vt:i4>0</vt:i4>
      </vt:variant>
      <vt:variant>
        <vt:i4>5</vt:i4>
      </vt:variant>
      <vt:variant>
        <vt:lpwstr/>
      </vt:variant>
      <vt:variant>
        <vt:lpwstr>_Toc24114568</vt:lpwstr>
      </vt:variant>
      <vt:variant>
        <vt:i4>1048625</vt:i4>
      </vt:variant>
      <vt:variant>
        <vt:i4>83</vt:i4>
      </vt:variant>
      <vt:variant>
        <vt:i4>0</vt:i4>
      </vt:variant>
      <vt:variant>
        <vt:i4>5</vt:i4>
      </vt:variant>
      <vt:variant>
        <vt:lpwstr/>
      </vt:variant>
      <vt:variant>
        <vt:lpwstr>_Toc24114567</vt:lpwstr>
      </vt:variant>
      <vt:variant>
        <vt:i4>1114161</vt:i4>
      </vt:variant>
      <vt:variant>
        <vt:i4>80</vt:i4>
      </vt:variant>
      <vt:variant>
        <vt:i4>0</vt:i4>
      </vt:variant>
      <vt:variant>
        <vt:i4>5</vt:i4>
      </vt:variant>
      <vt:variant>
        <vt:lpwstr/>
      </vt:variant>
      <vt:variant>
        <vt:lpwstr>_Toc24114566</vt:lpwstr>
      </vt:variant>
      <vt:variant>
        <vt:i4>1179697</vt:i4>
      </vt:variant>
      <vt:variant>
        <vt:i4>77</vt:i4>
      </vt:variant>
      <vt:variant>
        <vt:i4>0</vt:i4>
      </vt:variant>
      <vt:variant>
        <vt:i4>5</vt:i4>
      </vt:variant>
      <vt:variant>
        <vt:lpwstr/>
      </vt:variant>
      <vt:variant>
        <vt:lpwstr>_Toc24114565</vt:lpwstr>
      </vt:variant>
      <vt:variant>
        <vt:i4>1245233</vt:i4>
      </vt:variant>
      <vt:variant>
        <vt:i4>74</vt:i4>
      </vt:variant>
      <vt:variant>
        <vt:i4>0</vt:i4>
      </vt:variant>
      <vt:variant>
        <vt:i4>5</vt:i4>
      </vt:variant>
      <vt:variant>
        <vt:lpwstr/>
      </vt:variant>
      <vt:variant>
        <vt:lpwstr>_Toc24114564</vt:lpwstr>
      </vt:variant>
      <vt:variant>
        <vt:i4>1310769</vt:i4>
      </vt:variant>
      <vt:variant>
        <vt:i4>71</vt:i4>
      </vt:variant>
      <vt:variant>
        <vt:i4>0</vt:i4>
      </vt:variant>
      <vt:variant>
        <vt:i4>5</vt:i4>
      </vt:variant>
      <vt:variant>
        <vt:lpwstr/>
      </vt:variant>
      <vt:variant>
        <vt:lpwstr>_Toc24114563</vt:lpwstr>
      </vt:variant>
      <vt:variant>
        <vt:i4>1376305</vt:i4>
      </vt:variant>
      <vt:variant>
        <vt:i4>68</vt:i4>
      </vt:variant>
      <vt:variant>
        <vt:i4>0</vt:i4>
      </vt:variant>
      <vt:variant>
        <vt:i4>5</vt:i4>
      </vt:variant>
      <vt:variant>
        <vt:lpwstr/>
      </vt:variant>
      <vt:variant>
        <vt:lpwstr>_Toc24114562</vt:lpwstr>
      </vt:variant>
      <vt:variant>
        <vt:i4>1441841</vt:i4>
      </vt:variant>
      <vt:variant>
        <vt:i4>62</vt:i4>
      </vt:variant>
      <vt:variant>
        <vt:i4>0</vt:i4>
      </vt:variant>
      <vt:variant>
        <vt:i4>5</vt:i4>
      </vt:variant>
      <vt:variant>
        <vt:lpwstr/>
      </vt:variant>
      <vt:variant>
        <vt:lpwstr>_Toc24114561</vt:lpwstr>
      </vt:variant>
      <vt:variant>
        <vt:i4>1507377</vt:i4>
      </vt:variant>
      <vt:variant>
        <vt:i4>59</vt:i4>
      </vt:variant>
      <vt:variant>
        <vt:i4>0</vt:i4>
      </vt:variant>
      <vt:variant>
        <vt:i4>5</vt:i4>
      </vt:variant>
      <vt:variant>
        <vt:lpwstr/>
      </vt:variant>
      <vt:variant>
        <vt:lpwstr>_Toc24114560</vt:lpwstr>
      </vt:variant>
      <vt:variant>
        <vt:i4>1966130</vt:i4>
      </vt:variant>
      <vt:variant>
        <vt:i4>56</vt:i4>
      </vt:variant>
      <vt:variant>
        <vt:i4>0</vt:i4>
      </vt:variant>
      <vt:variant>
        <vt:i4>5</vt:i4>
      </vt:variant>
      <vt:variant>
        <vt:lpwstr/>
      </vt:variant>
      <vt:variant>
        <vt:lpwstr>_Toc24114559</vt:lpwstr>
      </vt:variant>
      <vt:variant>
        <vt:i4>2031666</vt:i4>
      </vt:variant>
      <vt:variant>
        <vt:i4>53</vt:i4>
      </vt:variant>
      <vt:variant>
        <vt:i4>0</vt:i4>
      </vt:variant>
      <vt:variant>
        <vt:i4>5</vt:i4>
      </vt:variant>
      <vt:variant>
        <vt:lpwstr/>
      </vt:variant>
      <vt:variant>
        <vt:lpwstr>_Toc24114558</vt:lpwstr>
      </vt:variant>
      <vt:variant>
        <vt:i4>1048626</vt:i4>
      </vt:variant>
      <vt:variant>
        <vt:i4>50</vt:i4>
      </vt:variant>
      <vt:variant>
        <vt:i4>0</vt:i4>
      </vt:variant>
      <vt:variant>
        <vt:i4>5</vt:i4>
      </vt:variant>
      <vt:variant>
        <vt:lpwstr/>
      </vt:variant>
      <vt:variant>
        <vt:lpwstr>_Toc24114557</vt:lpwstr>
      </vt:variant>
      <vt:variant>
        <vt:i4>1114162</vt:i4>
      </vt:variant>
      <vt:variant>
        <vt:i4>47</vt:i4>
      </vt:variant>
      <vt:variant>
        <vt:i4>0</vt:i4>
      </vt:variant>
      <vt:variant>
        <vt:i4>5</vt:i4>
      </vt:variant>
      <vt:variant>
        <vt:lpwstr/>
      </vt:variant>
      <vt:variant>
        <vt:lpwstr>_Toc24114556</vt:lpwstr>
      </vt:variant>
      <vt:variant>
        <vt:i4>1179698</vt:i4>
      </vt:variant>
      <vt:variant>
        <vt:i4>44</vt:i4>
      </vt:variant>
      <vt:variant>
        <vt:i4>0</vt:i4>
      </vt:variant>
      <vt:variant>
        <vt:i4>5</vt:i4>
      </vt:variant>
      <vt:variant>
        <vt:lpwstr/>
      </vt:variant>
      <vt:variant>
        <vt:lpwstr>_Toc24114555</vt:lpwstr>
      </vt:variant>
      <vt:variant>
        <vt:i4>1245234</vt:i4>
      </vt:variant>
      <vt:variant>
        <vt:i4>41</vt:i4>
      </vt:variant>
      <vt:variant>
        <vt:i4>0</vt:i4>
      </vt:variant>
      <vt:variant>
        <vt:i4>5</vt:i4>
      </vt:variant>
      <vt:variant>
        <vt:lpwstr/>
      </vt:variant>
      <vt:variant>
        <vt:lpwstr>_Toc24114554</vt:lpwstr>
      </vt:variant>
      <vt:variant>
        <vt:i4>1310770</vt:i4>
      </vt:variant>
      <vt:variant>
        <vt:i4>38</vt:i4>
      </vt:variant>
      <vt:variant>
        <vt:i4>0</vt:i4>
      </vt:variant>
      <vt:variant>
        <vt:i4>5</vt:i4>
      </vt:variant>
      <vt:variant>
        <vt:lpwstr/>
      </vt:variant>
      <vt:variant>
        <vt:lpwstr>_Toc24114553</vt:lpwstr>
      </vt:variant>
      <vt:variant>
        <vt:i4>1376306</vt:i4>
      </vt:variant>
      <vt:variant>
        <vt:i4>35</vt:i4>
      </vt:variant>
      <vt:variant>
        <vt:i4>0</vt:i4>
      </vt:variant>
      <vt:variant>
        <vt:i4>5</vt:i4>
      </vt:variant>
      <vt:variant>
        <vt:lpwstr/>
      </vt:variant>
      <vt:variant>
        <vt:lpwstr>_Toc24114552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Mattias Frenne</cp:lastModifiedBy>
  <cp:revision>2</cp:revision>
  <cp:lastPrinted>2008-01-31T19:09:00Z</cp:lastPrinted>
  <dcterms:created xsi:type="dcterms:W3CDTF">2019-11-08T17:49:00Z</dcterms:created>
  <dcterms:modified xsi:type="dcterms:W3CDTF">2019-11-08T17:49:00Z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